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6075"/>
      </w:tblGrid>
      <w:tr w:rsidR="00F66500" w:rsidRPr="003C4948" w14:paraId="1FBAA408" w14:textId="77777777" w:rsidTr="0081626A">
        <w:trPr>
          <w:trHeight w:val="1907"/>
        </w:trPr>
        <w:tc>
          <w:tcPr>
            <w:tcW w:w="3329" w:type="dxa"/>
          </w:tcPr>
          <w:p w14:paraId="2E19A594" w14:textId="77777777" w:rsidR="00037828" w:rsidRPr="003C4948" w:rsidRDefault="00037828" w:rsidP="003C4948">
            <w:pPr>
              <w:spacing w:line="276" w:lineRule="auto"/>
              <w:jc w:val="center"/>
              <w:rPr>
                <w:rFonts w:ascii="Azo Sans Lt" w:hAnsi="Azo Sans Lt"/>
                <w:b/>
                <w:color w:val="92D050"/>
                <w:sz w:val="56"/>
                <w:szCs w:val="56"/>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C4948">
              <w:rPr>
                <w:rFonts w:ascii="Azo Sans Lt" w:hAnsi="Azo Sans Lt"/>
                <w:b/>
                <w:color w:val="92D050"/>
                <w:sz w:val="56"/>
                <w:szCs w:val="56"/>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p w14:paraId="28F1E2F4" w14:textId="77777777" w:rsidR="00037828" w:rsidRPr="003C4948" w:rsidRDefault="00037828" w:rsidP="003C4948">
            <w:pPr>
              <w:spacing w:line="276" w:lineRule="auto"/>
              <w:jc w:val="center"/>
              <w:rPr>
                <w:rFonts w:ascii="Azo Sans Lt" w:hAnsi="Azo Sans Lt"/>
                <w:b/>
                <w:color w:val="92D050"/>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C4948">
              <w:rPr>
                <w:rFonts w:ascii="Azo Sans Lt" w:hAnsi="Azo Sans Lt"/>
                <w:b/>
                <w:color w:val="92D050"/>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629C695B" w14:textId="77777777" w:rsidR="00037828" w:rsidRPr="003C4948" w:rsidRDefault="00037828" w:rsidP="003C4948">
            <w:pPr>
              <w:suppressAutoHyphens/>
              <w:spacing w:before="120" w:after="240" w:line="276" w:lineRule="auto"/>
              <w:rPr>
                <w:rFonts w:ascii="Azo Sans Lt" w:hAnsi="Azo Sans Lt"/>
                <w:b/>
                <w:color w:val="92D050"/>
                <w:sz w:val="22"/>
                <w:szCs w:val="22"/>
              </w:rPr>
            </w:pPr>
          </w:p>
        </w:tc>
        <w:tc>
          <w:tcPr>
            <w:tcW w:w="6075" w:type="dxa"/>
          </w:tcPr>
          <w:p w14:paraId="2582A32C" w14:textId="77777777" w:rsidR="00037828" w:rsidRPr="003C4948" w:rsidRDefault="00037828" w:rsidP="003C4948">
            <w:pPr>
              <w:spacing w:line="276" w:lineRule="auto"/>
              <w:jc w:val="both"/>
              <w:rPr>
                <w:rFonts w:ascii="Azo Sans Lt" w:hAnsi="Azo Sans Lt"/>
                <w:b/>
                <w:color w:val="92D050"/>
                <w:sz w:val="32"/>
                <w:szCs w:val="32"/>
              </w:rPr>
            </w:pPr>
            <w:r w:rsidRPr="003C4948">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PROCESO PRESUPUESTARIO A TRAVÉS DE LA PROGRAMACIÓN Y PRESUPUESTACIÓN CON ENFOQUE DE RESULTADOS</w:t>
            </w:r>
          </w:p>
        </w:tc>
      </w:tr>
    </w:tbl>
    <w:p w14:paraId="5633809A" w14:textId="77777777" w:rsidR="0081626A" w:rsidRPr="003C4948" w:rsidRDefault="0081626A" w:rsidP="003C4948">
      <w:pPr>
        <w:spacing w:after="120" w:line="276" w:lineRule="auto"/>
        <w:ind w:left="567"/>
        <w:rPr>
          <w:rFonts w:ascii="Azo Sans Lt" w:hAnsi="Azo Sans Lt"/>
          <w:b/>
          <w:color w:val="000000" w:themeColor="text1"/>
          <w:sz w:val="22"/>
          <w:szCs w:val="22"/>
        </w:rPr>
      </w:pPr>
    </w:p>
    <w:p w14:paraId="779466B2" w14:textId="1F487237" w:rsidR="002B65D4" w:rsidRPr="006315E9" w:rsidRDefault="002B65D4" w:rsidP="003C4948">
      <w:pPr>
        <w:pStyle w:val="Prrafodelista"/>
        <w:numPr>
          <w:ilvl w:val="1"/>
          <w:numId w:val="32"/>
        </w:numPr>
        <w:spacing w:after="120" w:line="276" w:lineRule="auto"/>
        <w:ind w:left="1276" w:hanging="709"/>
        <w:rPr>
          <w:rFonts w:ascii="Azo Sans Lt" w:hAnsi="Azo Sans Lt"/>
          <w:b/>
          <w:color w:val="000000" w:themeColor="text1"/>
          <w:sz w:val="22"/>
          <w:szCs w:val="22"/>
        </w:rPr>
      </w:pPr>
      <w:r w:rsidRPr="006315E9">
        <w:rPr>
          <w:rFonts w:ascii="Azo Sans Lt" w:hAnsi="Azo Sans Lt"/>
          <w:b/>
          <w:color w:val="000000" w:themeColor="text1"/>
          <w:sz w:val="22"/>
          <w:szCs w:val="22"/>
        </w:rPr>
        <w:t>Antecedentes</w:t>
      </w:r>
    </w:p>
    <w:p w14:paraId="54D696AD" w14:textId="77777777" w:rsidR="002B65D4" w:rsidRPr="006315E9" w:rsidRDefault="002B65D4" w:rsidP="003C4948">
      <w:pPr>
        <w:pStyle w:val="Prrafodelista"/>
        <w:spacing w:after="120" w:line="276" w:lineRule="auto"/>
        <w:ind w:left="927"/>
        <w:rPr>
          <w:rFonts w:ascii="Azo Sans Lt" w:hAnsi="Azo Sans Lt"/>
          <w:b/>
          <w:color w:val="000000" w:themeColor="text1"/>
          <w:sz w:val="22"/>
          <w:szCs w:val="22"/>
        </w:rPr>
      </w:pPr>
    </w:p>
    <w:p w14:paraId="10D9688B" w14:textId="43C7E86F" w:rsidR="003C5E5F" w:rsidRPr="006315E9" w:rsidRDefault="003C5E5F" w:rsidP="003C4948">
      <w:pPr>
        <w:pStyle w:val="Prrafodelista"/>
        <w:numPr>
          <w:ilvl w:val="2"/>
          <w:numId w:val="32"/>
        </w:numPr>
        <w:spacing w:after="120" w:line="276" w:lineRule="auto"/>
        <w:ind w:left="1276" w:hanging="709"/>
        <w:rPr>
          <w:rFonts w:ascii="Azo Sans Lt" w:hAnsi="Azo Sans Lt"/>
          <w:b/>
          <w:color w:val="000000" w:themeColor="text1"/>
          <w:sz w:val="22"/>
          <w:szCs w:val="22"/>
        </w:rPr>
      </w:pPr>
      <w:r w:rsidRPr="006315E9">
        <w:rPr>
          <w:rFonts w:ascii="Azo Sans Lt" w:hAnsi="Azo Sans Lt"/>
          <w:b/>
          <w:color w:val="000000" w:themeColor="text1"/>
          <w:sz w:val="22"/>
          <w:szCs w:val="22"/>
        </w:rPr>
        <w:t xml:space="preserve"> El Modelo de Gestión para Resultados</w:t>
      </w:r>
      <w:r w:rsidR="00E32B77" w:rsidRPr="006315E9">
        <w:rPr>
          <w:rFonts w:ascii="Azo Sans Lt" w:hAnsi="Azo Sans Lt"/>
          <w:b/>
          <w:color w:val="000000" w:themeColor="text1"/>
          <w:sz w:val="22"/>
          <w:szCs w:val="22"/>
        </w:rPr>
        <w:t xml:space="preserve"> (GpR)</w:t>
      </w:r>
      <w:r w:rsidRPr="006315E9">
        <w:rPr>
          <w:rFonts w:ascii="Azo Sans Lt" w:hAnsi="Azo Sans Lt"/>
          <w:b/>
          <w:color w:val="000000" w:themeColor="text1"/>
          <w:sz w:val="22"/>
          <w:szCs w:val="22"/>
        </w:rPr>
        <w:t xml:space="preserve"> en México</w:t>
      </w:r>
    </w:p>
    <w:p w14:paraId="7F8C52BE" w14:textId="271F77D9"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El modelo de GpR</w:t>
      </w:r>
      <w:r w:rsidR="007236D9" w:rsidRPr="006315E9">
        <w:rPr>
          <w:rFonts w:ascii="Azo Sans Lt" w:hAnsi="Azo Sans Lt"/>
          <w:color w:val="000000" w:themeColor="text1"/>
          <w:sz w:val="22"/>
          <w:szCs w:val="22"/>
        </w:rPr>
        <w:t xml:space="preserve"> </w:t>
      </w:r>
      <w:r w:rsidR="00951AAD" w:rsidRPr="006315E9">
        <w:rPr>
          <w:rFonts w:ascii="Azo Sans Lt" w:hAnsi="Azo Sans Lt"/>
          <w:color w:val="000000" w:themeColor="text1"/>
          <w:sz w:val="22"/>
          <w:szCs w:val="22"/>
        </w:rPr>
        <w:t>s</w:t>
      </w:r>
      <w:r w:rsidRPr="006315E9">
        <w:rPr>
          <w:rFonts w:ascii="Azo Sans Lt" w:hAnsi="Azo Sans Lt"/>
          <w:color w:val="000000" w:themeColor="text1"/>
          <w:sz w:val="22"/>
          <w:szCs w:val="22"/>
        </w:rPr>
        <w:t>urge como una evolución de diversos modelos de administración pública enfocados a desarrollar estrategias y mecanismos que garanticen que la acción de los gobiernos genere resultados tangibles, lo que a su vez permite combatir de mejor manera los problemas fundamentales de la sociedad e impulsar el desarrollo económico y social sostenible que dicta la tendencia mundial.</w:t>
      </w:r>
    </w:p>
    <w:p w14:paraId="454F3058" w14:textId="77777777"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p>
    <w:p w14:paraId="09FE7A69" w14:textId="77777777"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En este sentido, diversos organismos internacionales han impulsado acciones que permiten generar en los países en vías de desarrollo mecanismos que producen estrategias de desarrollo y programas públicos vinculados con los presupuestos, garantizando la eficiencia del gasto público y la eficacia de la acción pública.</w:t>
      </w:r>
    </w:p>
    <w:p w14:paraId="02AACAD7" w14:textId="77777777"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p>
    <w:p w14:paraId="6D345286" w14:textId="09051E1F"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En México, con la intención de responder a esta evolución</w:t>
      </w:r>
      <w:r w:rsidR="00DB381A" w:rsidRPr="006315E9">
        <w:rPr>
          <w:rFonts w:ascii="Azo Sans Lt" w:hAnsi="Azo Sans Lt"/>
          <w:color w:val="000000" w:themeColor="text1"/>
          <w:sz w:val="22"/>
          <w:szCs w:val="22"/>
        </w:rPr>
        <w:t>, se publicó en mayo de</w:t>
      </w:r>
      <w:r w:rsidRPr="006315E9">
        <w:rPr>
          <w:rFonts w:ascii="Azo Sans Lt" w:hAnsi="Azo Sans Lt"/>
          <w:color w:val="000000" w:themeColor="text1"/>
          <w:sz w:val="22"/>
          <w:szCs w:val="22"/>
        </w:rPr>
        <w:t xml:space="preserve"> 2008 en el Diario Oficial de la Federación la Reforma Hacendaria en Materia de Gasto Público y Fiscalización, teniendo como objetivo central “que los tres órdenes de gobierno deberán de evaluar los resultados que obtengan los recurso</w:t>
      </w:r>
      <w:r w:rsidR="00954CF7" w:rsidRPr="006315E9">
        <w:rPr>
          <w:rFonts w:ascii="Azo Sans Lt" w:hAnsi="Azo Sans Lt"/>
          <w:color w:val="000000" w:themeColor="text1"/>
          <w:sz w:val="22"/>
          <w:szCs w:val="22"/>
        </w:rPr>
        <w:t>s</w:t>
      </w:r>
      <w:r w:rsidRPr="006315E9">
        <w:rPr>
          <w:rFonts w:ascii="Azo Sans Lt" w:hAnsi="Azo Sans Lt"/>
          <w:color w:val="000000" w:themeColor="text1"/>
          <w:sz w:val="22"/>
          <w:szCs w:val="22"/>
        </w:rPr>
        <w:t xml:space="preserve"> públicos y administrarlos bajo los principios de eficiencia, eficacia, economía, transparencia y honradez, a fin de satisfacer los objetivos a los que estén destinados.”</w:t>
      </w:r>
      <w:r w:rsidRPr="006315E9">
        <w:rPr>
          <w:rFonts w:ascii="Azo Sans Lt" w:hAnsi="Azo Sans Lt"/>
          <w:color w:val="000000" w:themeColor="text1"/>
          <w:sz w:val="22"/>
          <w:szCs w:val="22"/>
          <w:vertAlign w:val="superscript"/>
        </w:rPr>
        <w:footnoteReference w:id="1"/>
      </w:r>
    </w:p>
    <w:p w14:paraId="0B4ED645" w14:textId="77777777" w:rsidR="003C5E5F"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p>
    <w:p w14:paraId="6A7EDBB9" w14:textId="4FB0363D"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eastAsia="es-MX"/>
        </w:rPr>
      </w:pPr>
      <w:r w:rsidRPr="006315E9">
        <w:rPr>
          <w:rFonts w:ascii="Azo Sans Lt" w:hAnsi="Azo Sans Lt"/>
          <w:color w:val="000000" w:themeColor="text1"/>
          <w:sz w:val="22"/>
          <w:szCs w:val="22"/>
        </w:rPr>
        <w:t>Asimismo, el 31 de diciembre de 2008 se publicó en el Diario Oficial de la Federación la Ley General de Contabilidad Gubernamental</w:t>
      </w:r>
      <w:r w:rsidR="00A67756" w:rsidRPr="006315E9">
        <w:rPr>
          <w:rFonts w:ascii="Azo Sans Lt" w:hAnsi="Azo Sans Lt"/>
          <w:color w:val="000000" w:themeColor="text1"/>
          <w:sz w:val="22"/>
          <w:szCs w:val="22"/>
        </w:rPr>
        <w:t xml:space="preserve"> </w:t>
      </w:r>
      <w:r w:rsidR="00A67756" w:rsidRPr="006315E9">
        <w:rPr>
          <w:rFonts w:ascii="Azo Sans Lt" w:hAnsi="Azo Sans Lt"/>
          <w:noProof/>
          <w:color w:val="000000" w:themeColor="text1"/>
          <w:sz w:val="22"/>
          <w:szCs w:val="22"/>
          <w:lang w:eastAsia="es-MX"/>
        </w:rPr>
        <w:t>(en lo sucesivo LGCG)</w:t>
      </w:r>
      <w:r w:rsidRPr="006315E9">
        <w:rPr>
          <w:rFonts w:ascii="Azo Sans Lt" w:hAnsi="Azo Sans Lt"/>
          <w:color w:val="000000" w:themeColor="text1"/>
          <w:sz w:val="22"/>
          <w:szCs w:val="22"/>
        </w:rPr>
        <w:t>,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w:t>
      </w:r>
      <w:r w:rsidR="00B37608" w:rsidRPr="006315E9">
        <w:rPr>
          <w:rFonts w:ascii="Azo Sans Lt" w:hAnsi="Azo Sans Lt"/>
          <w:color w:val="000000" w:themeColor="text1"/>
          <w:sz w:val="22"/>
          <w:szCs w:val="22"/>
        </w:rPr>
        <w:t>cia del gasto e ingreso público</w:t>
      </w:r>
      <w:r w:rsidRPr="006315E9">
        <w:rPr>
          <w:rFonts w:ascii="Azo Sans Lt" w:hAnsi="Azo Sans Lt"/>
          <w:color w:val="000000" w:themeColor="text1"/>
          <w:sz w:val="22"/>
          <w:szCs w:val="22"/>
        </w:rPr>
        <w:t xml:space="preserve">. </w:t>
      </w:r>
      <w:r w:rsidRPr="006315E9">
        <w:rPr>
          <w:rFonts w:ascii="Azo Sans Lt" w:hAnsi="Azo Sans Lt"/>
          <w:noProof/>
          <w:color w:val="000000" w:themeColor="text1"/>
          <w:sz w:val="22"/>
          <w:szCs w:val="22"/>
          <w:lang w:eastAsia="es-MX"/>
        </w:rPr>
        <w:t xml:space="preserve">La </w:t>
      </w:r>
      <w:r w:rsidR="00A67756" w:rsidRPr="006315E9">
        <w:rPr>
          <w:rFonts w:ascii="Azo Sans Lt" w:hAnsi="Azo Sans Lt"/>
          <w:noProof/>
          <w:color w:val="000000" w:themeColor="text1"/>
          <w:sz w:val="22"/>
          <w:szCs w:val="22"/>
          <w:lang w:eastAsia="es-MX"/>
        </w:rPr>
        <w:t xml:space="preserve">LGCG </w:t>
      </w:r>
      <w:r w:rsidRPr="006315E9">
        <w:rPr>
          <w:rFonts w:ascii="Azo Sans Lt" w:hAnsi="Azo Sans Lt"/>
          <w:noProof/>
          <w:color w:val="000000" w:themeColor="text1"/>
          <w:sz w:val="22"/>
          <w:szCs w:val="22"/>
          <w:lang w:eastAsia="es-MX"/>
        </w:rPr>
        <w:t>es de ob</w:t>
      </w:r>
      <w:r w:rsidR="00B37608" w:rsidRPr="006315E9">
        <w:rPr>
          <w:rFonts w:ascii="Azo Sans Lt" w:hAnsi="Azo Sans Lt"/>
          <w:noProof/>
          <w:color w:val="000000" w:themeColor="text1"/>
          <w:sz w:val="22"/>
          <w:szCs w:val="22"/>
          <w:lang w:eastAsia="es-MX"/>
        </w:rPr>
        <w:t>servancia obligatoria para los P</w:t>
      </w:r>
      <w:r w:rsidRPr="006315E9">
        <w:rPr>
          <w:rFonts w:ascii="Azo Sans Lt" w:hAnsi="Azo Sans Lt"/>
          <w:noProof/>
          <w:color w:val="000000" w:themeColor="text1"/>
          <w:sz w:val="22"/>
          <w:szCs w:val="22"/>
          <w:lang w:eastAsia="es-MX"/>
        </w:rPr>
        <w:t xml:space="preserve">oderes Ejecutivo, Legislativo y Judicial de la Federación, entidades federativas, </w:t>
      </w:r>
      <w:r w:rsidRPr="006315E9">
        <w:rPr>
          <w:rFonts w:ascii="Azo Sans Lt" w:hAnsi="Azo Sans Lt"/>
          <w:noProof/>
          <w:color w:val="000000" w:themeColor="text1"/>
          <w:sz w:val="22"/>
          <w:szCs w:val="22"/>
          <w:lang w:eastAsia="es-MX"/>
        </w:rPr>
        <w:lastRenderedPageBreak/>
        <w:t>ayuntamientos de los municipios, , entidades de la administración pública paraestatal (ya sean federales, estatales o municipales) y los órganos autónomos federales y estatales.</w:t>
      </w:r>
    </w:p>
    <w:p w14:paraId="1FC02D10" w14:textId="77777777" w:rsidR="004766C2" w:rsidRPr="006315E9" w:rsidRDefault="004766C2" w:rsidP="003C4948">
      <w:pPr>
        <w:suppressAutoHyphens/>
        <w:spacing w:after="200" w:line="276" w:lineRule="auto"/>
        <w:ind w:left="567"/>
        <w:contextualSpacing/>
        <w:jc w:val="both"/>
        <w:rPr>
          <w:rFonts w:ascii="Azo Sans Lt" w:hAnsi="Azo Sans Lt"/>
          <w:noProof/>
          <w:color w:val="000000" w:themeColor="text1"/>
          <w:sz w:val="22"/>
          <w:szCs w:val="22"/>
          <w:lang w:eastAsia="es-MX"/>
        </w:rPr>
      </w:pPr>
    </w:p>
    <w:p w14:paraId="2A8D8506"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eastAsia="es-MX"/>
        </w:rPr>
      </w:pPr>
      <w:r w:rsidRPr="006315E9">
        <w:rPr>
          <w:rFonts w:ascii="Azo Sans Lt" w:hAnsi="Azo Sans Lt"/>
          <w:noProof/>
          <w:color w:val="000000" w:themeColor="text1"/>
          <w:sz w:val="22"/>
          <w:szCs w:val="22"/>
          <w:lang w:eastAsia="es-MX"/>
        </w:rPr>
        <w:t xml:space="preserve">El órgano de coordinación para la armonización de la Contabilidad Gubernamental es el </w:t>
      </w:r>
      <w:r w:rsidR="00E97636" w:rsidRPr="006315E9">
        <w:rPr>
          <w:rFonts w:ascii="Azo Sans Lt" w:hAnsi="Azo Sans Lt"/>
          <w:noProof/>
          <w:color w:val="000000" w:themeColor="text1"/>
          <w:sz w:val="22"/>
          <w:szCs w:val="22"/>
          <w:lang w:eastAsia="es-MX"/>
        </w:rPr>
        <w:t xml:space="preserve">Consejo Nacional de Armonización Contable ( en lo sucesivo </w:t>
      </w:r>
      <w:r w:rsidRPr="006315E9">
        <w:rPr>
          <w:rFonts w:ascii="Azo Sans Lt" w:hAnsi="Azo Sans Lt"/>
          <w:noProof/>
          <w:color w:val="000000" w:themeColor="text1"/>
          <w:sz w:val="22"/>
          <w:szCs w:val="22"/>
          <w:lang w:eastAsia="es-MX"/>
        </w:rPr>
        <w:t>CONAC</w:t>
      </w:r>
      <w:r w:rsidR="00E97636" w:rsidRPr="006315E9">
        <w:rPr>
          <w:rFonts w:ascii="Azo Sans Lt" w:hAnsi="Azo Sans Lt"/>
          <w:noProof/>
          <w:color w:val="000000" w:themeColor="text1"/>
          <w:sz w:val="22"/>
          <w:szCs w:val="22"/>
          <w:lang w:eastAsia="es-MX"/>
        </w:rPr>
        <w:t>)</w:t>
      </w:r>
      <w:r w:rsidRPr="006315E9">
        <w:rPr>
          <w:rFonts w:ascii="Azo Sans Lt" w:hAnsi="Azo Sans Lt"/>
          <w:noProof/>
          <w:color w:val="000000" w:themeColor="text1"/>
          <w:sz w:val="22"/>
          <w:szCs w:val="22"/>
          <w:lang w:eastAsia="es-MX"/>
        </w:rPr>
        <w:t>, el cual tiene por objeto la emisión de las normas contables y lineamientos para la generación de información financiera que aplicarán los entes públicos. 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14:paraId="1234F23A"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eastAsia="es-MX"/>
        </w:rPr>
      </w:pPr>
    </w:p>
    <w:p w14:paraId="143D53A5" w14:textId="735C6A91" w:rsidR="003C5E5F" w:rsidRPr="006315E9" w:rsidRDefault="00B37608"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En conclusión: la estraté</w:t>
      </w:r>
      <w:r w:rsidR="003C5E5F" w:rsidRPr="006315E9">
        <w:rPr>
          <w:rFonts w:ascii="Azo Sans Lt" w:hAnsi="Azo Sans Lt"/>
          <w:color w:val="000000" w:themeColor="text1"/>
          <w:sz w:val="22"/>
          <w:szCs w:val="22"/>
        </w:rPr>
        <w:t>gia de esta reforma hacendaria es adecuar el marco normativo federal y el de las entidades federativas para definir e impulsar acciones en materia de gasto público, fortalecer acciones de mejora en el desempeño de las instituciones, e impulsar la aplicación de mecanismos como la planeación, análisis y evaluación en los procesos de elaboración de</w:t>
      </w:r>
      <w:r w:rsidR="008451E3" w:rsidRPr="006315E9">
        <w:rPr>
          <w:rFonts w:ascii="Azo Sans Lt" w:hAnsi="Azo Sans Lt"/>
          <w:color w:val="000000" w:themeColor="text1"/>
          <w:sz w:val="22"/>
          <w:szCs w:val="22"/>
        </w:rPr>
        <w:t>l</w:t>
      </w:r>
      <w:r w:rsidR="003C5E5F" w:rsidRPr="006315E9">
        <w:rPr>
          <w:rFonts w:ascii="Azo Sans Lt" w:hAnsi="Azo Sans Lt"/>
          <w:color w:val="000000" w:themeColor="text1"/>
          <w:sz w:val="22"/>
          <w:szCs w:val="22"/>
        </w:rPr>
        <w:t xml:space="preserve"> Pp</w:t>
      </w:r>
      <w:r w:rsidR="00A67756" w:rsidRPr="006315E9">
        <w:rPr>
          <w:rFonts w:ascii="Azo Sans Lt" w:hAnsi="Azo Sans Lt"/>
          <w:color w:val="000000" w:themeColor="text1"/>
          <w:sz w:val="22"/>
          <w:szCs w:val="22"/>
        </w:rPr>
        <w:t xml:space="preserve"> </w:t>
      </w:r>
      <w:r w:rsidR="003C5E5F" w:rsidRPr="006315E9">
        <w:rPr>
          <w:rFonts w:ascii="Azo Sans Lt" w:hAnsi="Azo Sans Lt"/>
          <w:color w:val="000000" w:themeColor="text1"/>
          <w:sz w:val="22"/>
          <w:szCs w:val="22"/>
        </w:rPr>
        <w:t>para mejorar la toma de decisiones en el ámbito público y garantizar resultados en beneficios de la sociedad.</w:t>
      </w:r>
    </w:p>
    <w:p w14:paraId="0FBE99BE"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eastAsia="es-MX"/>
        </w:rPr>
      </w:pPr>
    </w:p>
    <w:p w14:paraId="1E1CB55D" w14:textId="77777777" w:rsidR="003C5E5F" w:rsidRPr="006315E9" w:rsidRDefault="003C5E5F" w:rsidP="003C494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 xml:space="preserve">¿Qué implica el cambio del modelo de GpR en la </w:t>
      </w:r>
      <w:r w:rsidR="00E97636" w:rsidRPr="006315E9">
        <w:rPr>
          <w:rFonts w:ascii="Azo Sans Lt" w:hAnsi="Azo Sans Lt"/>
          <w:b/>
          <w:color w:val="000000" w:themeColor="text1"/>
          <w:sz w:val="22"/>
          <w:szCs w:val="22"/>
        </w:rPr>
        <w:t>A</w:t>
      </w:r>
      <w:r w:rsidRPr="006315E9">
        <w:rPr>
          <w:rFonts w:ascii="Azo Sans Lt" w:hAnsi="Azo Sans Lt"/>
          <w:b/>
          <w:color w:val="000000" w:themeColor="text1"/>
          <w:sz w:val="22"/>
          <w:szCs w:val="22"/>
        </w:rPr>
        <w:t xml:space="preserve">dministración </w:t>
      </w:r>
      <w:r w:rsidR="00E97636" w:rsidRPr="006315E9">
        <w:rPr>
          <w:rFonts w:ascii="Azo Sans Lt" w:hAnsi="Azo Sans Lt"/>
          <w:b/>
          <w:color w:val="000000" w:themeColor="text1"/>
          <w:sz w:val="22"/>
          <w:szCs w:val="22"/>
        </w:rPr>
        <w:t>P</w:t>
      </w:r>
      <w:r w:rsidRPr="006315E9">
        <w:rPr>
          <w:rFonts w:ascii="Azo Sans Lt" w:hAnsi="Azo Sans Lt"/>
          <w:b/>
          <w:color w:val="000000" w:themeColor="text1"/>
          <w:sz w:val="22"/>
          <w:szCs w:val="22"/>
        </w:rPr>
        <w:t>ública?</w:t>
      </w:r>
    </w:p>
    <w:p w14:paraId="4E66721F" w14:textId="6934DD77" w:rsidR="007236D9"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El modelo de GpR</w:t>
      </w:r>
      <w:r w:rsidR="007236D9" w:rsidRPr="006315E9">
        <w:rPr>
          <w:rFonts w:ascii="Azo Sans Lt" w:hAnsi="Azo Sans Lt"/>
          <w:color w:val="000000" w:themeColor="text1"/>
          <w:sz w:val="22"/>
          <w:szCs w:val="22"/>
        </w:rPr>
        <w:t xml:space="preserve"> </w:t>
      </w:r>
      <w:r w:rsidRPr="006315E9">
        <w:rPr>
          <w:rFonts w:ascii="Azo Sans Lt" w:hAnsi="Azo Sans Lt"/>
          <w:color w:val="000000" w:themeColor="text1"/>
          <w:sz w:val="22"/>
          <w:szCs w:val="22"/>
        </w:rPr>
        <w:t>implementado en nuestro país tiene como objetivos rectores hacer más eficiente el manejo de los recursos públicos, diseñando Pp que resuelvan las demandas sociales, así como impulsar la transparencia y participación ciudadana en la evaluación de las políticas públicas y programas ejecutados en beneficio de la población. Brinda la oportunidad dentro de la operación de la administración pública de analizar, reflexionar y modificar los puntos esenciales que permitan modernizar la operación, eficientar la ejecución e involucrar a la sociedad en una administración moderna.</w:t>
      </w:r>
    </w:p>
    <w:p w14:paraId="2C211631" w14:textId="77777777" w:rsidR="00067C87" w:rsidRPr="006315E9" w:rsidRDefault="00067C87" w:rsidP="003C4948">
      <w:pPr>
        <w:suppressAutoHyphens/>
        <w:spacing w:after="200" w:line="276" w:lineRule="auto"/>
        <w:ind w:left="567"/>
        <w:contextualSpacing/>
        <w:jc w:val="both"/>
        <w:rPr>
          <w:rFonts w:ascii="Azo Sans Lt" w:hAnsi="Azo Sans Lt"/>
          <w:color w:val="000000" w:themeColor="text1"/>
          <w:sz w:val="22"/>
          <w:szCs w:val="22"/>
        </w:rPr>
      </w:pPr>
    </w:p>
    <w:p w14:paraId="4B34F816" w14:textId="2FEC7D52" w:rsidR="003C5E5F" w:rsidRPr="006315E9" w:rsidRDefault="003C5E5F" w:rsidP="003C4948">
      <w:pPr>
        <w:pStyle w:val="Prrafodelista"/>
        <w:numPr>
          <w:ilvl w:val="2"/>
          <w:numId w:val="32"/>
        </w:numPr>
        <w:spacing w:after="120" w:line="276" w:lineRule="auto"/>
        <w:ind w:left="1418" w:hanging="709"/>
        <w:rPr>
          <w:rFonts w:ascii="Azo Sans Lt" w:hAnsi="Azo Sans Lt"/>
          <w:b/>
          <w:color w:val="000000" w:themeColor="text1"/>
          <w:sz w:val="22"/>
          <w:szCs w:val="22"/>
        </w:rPr>
      </w:pPr>
      <w:r w:rsidRPr="006315E9">
        <w:rPr>
          <w:rFonts w:ascii="Azo Sans Lt" w:hAnsi="Azo Sans Lt"/>
          <w:b/>
          <w:color w:val="000000" w:themeColor="text1"/>
          <w:sz w:val="22"/>
          <w:szCs w:val="22"/>
        </w:rPr>
        <w:t xml:space="preserve"> El Modelo de GpR en el Estado de Campeche</w:t>
      </w:r>
    </w:p>
    <w:p w14:paraId="4A1E4240" w14:textId="77777777" w:rsidR="003C5E5F" w:rsidRPr="006315E9" w:rsidRDefault="001D58B2" w:rsidP="003C4948">
      <w:pPr>
        <w:suppressAutoHyphens/>
        <w:spacing w:after="200" w:line="276" w:lineRule="auto"/>
        <w:ind w:left="709"/>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L</w:t>
      </w:r>
      <w:r w:rsidR="0060494A" w:rsidRPr="006315E9">
        <w:rPr>
          <w:rFonts w:ascii="Azo Sans Lt" w:hAnsi="Azo Sans Lt"/>
          <w:color w:val="000000" w:themeColor="text1"/>
          <w:sz w:val="22"/>
          <w:szCs w:val="22"/>
        </w:rPr>
        <w:t xml:space="preserve">a SEFIN </w:t>
      </w:r>
      <w:r w:rsidR="003C5E5F" w:rsidRPr="006315E9">
        <w:rPr>
          <w:rFonts w:ascii="Azo Sans Lt" w:hAnsi="Azo Sans Lt"/>
          <w:color w:val="000000" w:themeColor="text1"/>
          <w:sz w:val="22"/>
          <w:szCs w:val="22"/>
        </w:rPr>
        <w:t>ha venido realizando acciones de reforma de los procesos y procedimientos presupuestarios estatales, sentando las bases de una estrategia integral de fortalecimiento del proceso presupuestario y de incorporación de indicadores para la medición de resultados. El conjunto de estas acciones incluye algunas medidas orientadas a proporcionar un entorno institucional propicio para operar un presupuesto con atributos de efectividad y eficiencia, relevancia y pertinencia, e impacto y sustentabilidad. Lo anterior se ve reflejado en lo siguiente:</w:t>
      </w:r>
    </w:p>
    <w:p w14:paraId="05E07E6D" w14:textId="599C096D" w:rsidR="003C5E5F" w:rsidRPr="006315E9" w:rsidRDefault="003C5E5F" w:rsidP="003C4948">
      <w:pPr>
        <w:pStyle w:val="Prrafodelista"/>
        <w:numPr>
          <w:ilvl w:val="0"/>
          <w:numId w:val="6"/>
        </w:numPr>
        <w:suppressAutoHyphens/>
        <w:spacing w:after="120" w:line="276" w:lineRule="auto"/>
        <w:ind w:left="1134" w:hanging="425"/>
        <w:contextualSpacing w:val="0"/>
        <w:jc w:val="both"/>
        <w:rPr>
          <w:rFonts w:ascii="Azo Sans Lt" w:hAnsi="Azo Sans Lt"/>
          <w:color w:val="000000" w:themeColor="text1"/>
          <w:sz w:val="22"/>
          <w:szCs w:val="22"/>
        </w:rPr>
      </w:pPr>
      <w:r w:rsidRPr="006315E9">
        <w:rPr>
          <w:rFonts w:ascii="Azo Sans Lt" w:hAnsi="Azo Sans Lt"/>
          <w:color w:val="000000" w:themeColor="text1"/>
          <w:sz w:val="22"/>
          <w:szCs w:val="22"/>
        </w:rPr>
        <w:t xml:space="preserve">Creación del Grupo </w:t>
      </w:r>
      <w:r w:rsidR="00E32B77" w:rsidRPr="006315E9">
        <w:rPr>
          <w:rFonts w:ascii="Azo Sans Lt" w:hAnsi="Azo Sans Lt"/>
          <w:color w:val="000000" w:themeColor="text1"/>
          <w:sz w:val="22"/>
          <w:szCs w:val="22"/>
        </w:rPr>
        <w:t>PbR</w:t>
      </w:r>
      <w:r w:rsidRPr="006315E9">
        <w:rPr>
          <w:rFonts w:ascii="Azo Sans Lt" w:hAnsi="Azo Sans Lt"/>
          <w:color w:val="000000" w:themeColor="text1"/>
          <w:sz w:val="22"/>
          <w:szCs w:val="22"/>
        </w:rPr>
        <w:t xml:space="preserve"> en el año 2011</w:t>
      </w:r>
      <w:r w:rsidR="00E32B77" w:rsidRPr="006315E9">
        <w:rPr>
          <w:rFonts w:ascii="Azo Sans Lt" w:hAnsi="Azo Sans Lt"/>
          <w:color w:val="000000" w:themeColor="text1"/>
          <w:sz w:val="22"/>
          <w:szCs w:val="22"/>
        </w:rPr>
        <w:t>, denominado</w:t>
      </w:r>
      <w:r w:rsidRPr="006315E9">
        <w:rPr>
          <w:rFonts w:ascii="Azo Sans Lt" w:hAnsi="Azo Sans Lt"/>
          <w:color w:val="000000" w:themeColor="text1"/>
          <w:sz w:val="22"/>
          <w:szCs w:val="22"/>
        </w:rPr>
        <w:t xml:space="preserve"> actualmente </w:t>
      </w:r>
      <w:r w:rsidR="00E32B77" w:rsidRPr="006315E9">
        <w:rPr>
          <w:rFonts w:ascii="Azo Sans Lt" w:hAnsi="Azo Sans Lt"/>
          <w:color w:val="000000" w:themeColor="text1"/>
          <w:sz w:val="22"/>
          <w:szCs w:val="22"/>
        </w:rPr>
        <w:t xml:space="preserve">Departamento de Formulación y Seguimiento de Programas Presupuestarios de la </w:t>
      </w:r>
      <w:r w:rsidR="008F707D" w:rsidRPr="006315E9">
        <w:rPr>
          <w:rFonts w:ascii="Azo Sans Lt" w:hAnsi="Azo Sans Lt"/>
          <w:color w:val="000000" w:themeColor="text1"/>
          <w:sz w:val="22"/>
          <w:szCs w:val="22"/>
        </w:rPr>
        <w:t>Dirección</w:t>
      </w:r>
      <w:r w:rsidR="00E32B77" w:rsidRPr="006315E9">
        <w:rPr>
          <w:rFonts w:ascii="Azo Sans Lt" w:hAnsi="Azo Sans Lt"/>
          <w:color w:val="000000" w:themeColor="text1"/>
          <w:sz w:val="22"/>
          <w:szCs w:val="22"/>
        </w:rPr>
        <w:t xml:space="preserve"> de Presupuesto</w:t>
      </w:r>
      <w:r w:rsidR="001D58B2" w:rsidRPr="006315E9">
        <w:rPr>
          <w:rFonts w:ascii="Azo Sans Lt" w:hAnsi="Azo Sans Lt"/>
          <w:color w:val="000000" w:themeColor="text1"/>
          <w:sz w:val="22"/>
          <w:szCs w:val="22"/>
        </w:rPr>
        <w:t>.</w:t>
      </w:r>
    </w:p>
    <w:p w14:paraId="105EC1AA" w14:textId="1640B5C2" w:rsidR="003C5E5F" w:rsidRPr="006315E9" w:rsidRDefault="003C5E5F" w:rsidP="003C4948">
      <w:pPr>
        <w:pStyle w:val="Prrafodelista"/>
        <w:numPr>
          <w:ilvl w:val="0"/>
          <w:numId w:val="6"/>
        </w:numPr>
        <w:suppressAutoHyphens/>
        <w:spacing w:after="120" w:line="276" w:lineRule="auto"/>
        <w:ind w:left="1134" w:hanging="425"/>
        <w:contextualSpacing w:val="0"/>
        <w:jc w:val="both"/>
        <w:rPr>
          <w:rFonts w:ascii="Azo Sans Lt" w:hAnsi="Azo Sans Lt"/>
          <w:color w:val="000000" w:themeColor="text1"/>
          <w:sz w:val="22"/>
          <w:szCs w:val="22"/>
        </w:rPr>
      </w:pPr>
      <w:r w:rsidRPr="006315E9">
        <w:rPr>
          <w:rFonts w:ascii="Azo Sans Lt" w:hAnsi="Azo Sans Lt"/>
          <w:color w:val="000000" w:themeColor="text1"/>
          <w:sz w:val="22"/>
          <w:szCs w:val="22"/>
        </w:rPr>
        <w:lastRenderedPageBreak/>
        <w:t xml:space="preserve">Emisión </w:t>
      </w:r>
      <w:r w:rsidR="006A4486" w:rsidRPr="006315E9">
        <w:rPr>
          <w:rFonts w:ascii="Azo Sans Lt" w:hAnsi="Azo Sans Lt"/>
          <w:color w:val="000000" w:themeColor="text1"/>
          <w:sz w:val="22"/>
          <w:szCs w:val="22"/>
        </w:rPr>
        <w:t>de la Ley de Disciplina Financiera y Responsabilidad Hacendaria del Estado de</w:t>
      </w:r>
      <w:r w:rsidR="005845F6" w:rsidRPr="006315E9">
        <w:rPr>
          <w:rFonts w:ascii="Azo Sans Lt" w:hAnsi="Azo Sans Lt"/>
          <w:color w:val="000000" w:themeColor="text1"/>
          <w:sz w:val="22"/>
          <w:szCs w:val="22"/>
        </w:rPr>
        <w:t xml:space="preserve"> Campeche y sus Municipios</w:t>
      </w:r>
      <w:r w:rsidR="007C59AC" w:rsidRPr="006315E9">
        <w:rPr>
          <w:rFonts w:ascii="Azo Sans Lt" w:hAnsi="Azo Sans Lt"/>
          <w:color w:val="000000" w:themeColor="text1"/>
          <w:sz w:val="22"/>
          <w:szCs w:val="22"/>
        </w:rPr>
        <w:t xml:space="preserve"> </w:t>
      </w:r>
      <w:r w:rsidR="003C4948" w:rsidRPr="006315E9">
        <w:rPr>
          <w:rFonts w:ascii="Azo Sans Lt" w:hAnsi="Azo Sans Lt"/>
          <w:color w:val="000000" w:themeColor="text1"/>
          <w:sz w:val="22"/>
          <w:szCs w:val="22"/>
        </w:rPr>
        <w:t>(en</w:t>
      </w:r>
      <w:r w:rsidR="007C59AC" w:rsidRPr="006315E9">
        <w:rPr>
          <w:rFonts w:ascii="Azo Sans Lt" w:hAnsi="Azo Sans Lt"/>
          <w:color w:val="000000" w:themeColor="text1"/>
          <w:sz w:val="22"/>
          <w:szCs w:val="22"/>
        </w:rPr>
        <w:t xml:space="preserve"> lo sucesivo Ley de Disciplina</w:t>
      </w:r>
      <w:r w:rsidR="00704A4E" w:rsidRPr="006315E9">
        <w:rPr>
          <w:rFonts w:ascii="Azo Sans Lt" w:hAnsi="Azo Sans Lt"/>
          <w:color w:val="000000" w:themeColor="text1"/>
          <w:sz w:val="22"/>
          <w:szCs w:val="22"/>
        </w:rPr>
        <w:t xml:space="preserve"> Financiera</w:t>
      </w:r>
      <w:r w:rsidR="00006ABC" w:rsidRPr="006315E9">
        <w:rPr>
          <w:rFonts w:ascii="Azo Sans Lt" w:hAnsi="Azo Sans Lt"/>
          <w:color w:val="000000" w:themeColor="text1"/>
          <w:sz w:val="22"/>
          <w:szCs w:val="22"/>
        </w:rPr>
        <w:t>)</w:t>
      </w:r>
      <w:r w:rsidR="005845F6" w:rsidRPr="006315E9">
        <w:rPr>
          <w:rFonts w:ascii="Azo Sans Lt" w:hAnsi="Azo Sans Lt"/>
          <w:color w:val="000000" w:themeColor="text1"/>
          <w:sz w:val="22"/>
          <w:szCs w:val="22"/>
        </w:rPr>
        <w:t xml:space="preserve">, el </w:t>
      </w:r>
      <w:r w:rsidR="006A4486" w:rsidRPr="006315E9">
        <w:rPr>
          <w:rFonts w:ascii="Azo Sans Lt" w:hAnsi="Azo Sans Lt"/>
          <w:color w:val="000000" w:themeColor="text1"/>
          <w:sz w:val="22"/>
          <w:szCs w:val="22"/>
        </w:rPr>
        <w:t xml:space="preserve">18 de noviembre del 2016, en sustitución </w:t>
      </w:r>
      <w:r w:rsidRPr="006315E9">
        <w:rPr>
          <w:rFonts w:ascii="Azo Sans Lt" w:hAnsi="Azo Sans Lt"/>
          <w:color w:val="000000" w:themeColor="text1"/>
          <w:sz w:val="22"/>
          <w:szCs w:val="22"/>
        </w:rPr>
        <w:t xml:space="preserve">de la Ley de Control Presupuestal y Responsabilidad Hacendaria del Estado de Campeche, </w:t>
      </w:r>
      <w:r w:rsidR="006A4486" w:rsidRPr="006315E9">
        <w:rPr>
          <w:rFonts w:ascii="Azo Sans Lt" w:hAnsi="Azo Sans Lt"/>
          <w:color w:val="000000" w:themeColor="text1"/>
          <w:sz w:val="22"/>
          <w:szCs w:val="22"/>
        </w:rPr>
        <w:t xml:space="preserve">publicada </w:t>
      </w:r>
      <w:r w:rsidRPr="006315E9">
        <w:rPr>
          <w:rFonts w:ascii="Azo Sans Lt" w:hAnsi="Azo Sans Lt"/>
          <w:color w:val="000000" w:themeColor="text1"/>
          <w:sz w:val="22"/>
          <w:szCs w:val="22"/>
        </w:rPr>
        <w:t>el 14 de septiembre de 2012.</w:t>
      </w:r>
    </w:p>
    <w:p w14:paraId="1E3854BA" w14:textId="5A7FCB56" w:rsidR="003C5E5F" w:rsidRPr="006315E9" w:rsidRDefault="003C5E5F" w:rsidP="003C4948">
      <w:pPr>
        <w:pStyle w:val="Prrafodelista"/>
        <w:numPr>
          <w:ilvl w:val="0"/>
          <w:numId w:val="6"/>
        </w:numPr>
        <w:suppressAutoHyphens/>
        <w:spacing w:after="120" w:line="276" w:lineRule="auto"/>
        <w:ind w:left="1134" w:hanging="425"/>
        <w:contextualSpacing w:val="0"/>
        <w:jc w:val="both"/>
        <w:rPr>
          <w:rFonts w:ascii="Azo Sans Lt" w:hAnsi="Azo Sans Lt"/>
          <w:color w:val="000000" w:themeColor="text1"/>
          <w:sz w:val="22"/>
          <w:szCs w:val="22"/>
        </w:rPr>
      </w:pPr>
      <w:r w:rsidRPr="006315E9">
        <w:rPr>
          <w:rFonts w:ascii="Azo Sans Lt" w:hAnsi="Azo Sans Lt"/>
          <w:color w:val="000000" w:themeColor="text1"/>
          <w:sz w:val="22"/>
          <w:szCs w:val="22"/>
        </w:rPr>
        <w:t>Realización de diversos cursos-taller sobre la Metodología de Marco Lógico, que ha permitido que el 100% del gasto gubernamental esté contenido en Pp con una</w:t>
      </w:r>
      <w:r w:rsidR="008A7964" w:rsidRPr="006315E9">
        <w:rPr>
          <w:rFonts w:ascii="Azo Sans Lt" w:hAnsi="Azo Sans Lt"/>
          <w:color w:val="000000" w:themeColor="text1"/>
          <w:sz w:val="22"/>
          <w:szCs w:val="22"/>
        </w:rPr>
        <w:t xml:space="preserve"> Matriz de Indicadores para Resultados</w:t>
      </w:r>
      <w:r w:rsidRPr="006315E9">
        <w:rPr>
          <w:rFonts w:ascii="Azo Sans Lt" w:hAnsi="Azo Sans Lt"/>
          <w:color w:val="000000" w:themeColor="text1"/>
          <w:sz w:val="22"/>
          <w:szCs w:val="22"/>
        </w:rPr>
        <w:t xml:space="preserve"> cada uno.</w:t>
      </w:r>
    </w:p>
    <w:p w14:paraId="72171F5C" w14:textId="77777777" w:rsidR="003C5E5F" w:rsidRPr="006315E9" w:rsidRDefault="003C5E5F" w:rsidP="003C4948">
      <w:pPr>
        <w:suppressAutoHyphens/>
        <w:spacing w:after="200" w:line="276" w:lineRule="auto"/>
        <w:ind w:left="1134" w:hanging="425"/>
        <w:contextualSpacing/>
        <w:jc w:val="both"/>
        <w:rPr>
          <w:rFonts w:ascii="Azo Sans Lt" w:hAnsi="Azo Sans Lt"/>
          <w:color w:val="000000" w:themeColor="text1"/>
          <w:sz w:val="22"/>
          <w:szCs w:val="22"/>
          <w:highlight w:val="red"/>
        </w:rPr>
      </w:pPr>
      <w:r w:rsidRPr="006315E9">
        <w:rPr>
          <w:rFonts w:ascii="Azo Sans Lt" w:hAnsi="Azo Sans Lt"/>
          <w:color w:val="000000" w:themeColor="text1"/>
          <w:sz w:val="22"/>
          <w:szCs w:val="22"/>
        </w:rPr>
        <w:t xml:space="preserve">Estas acciones se sustentan y al mismo tiempo responden </w:t>
      </w:r>
      <w:r w:rsidR="006A2C3D" w:rsidRPr="006315E9">
        <w:rPr>
          <w:rFonts w:ascii="Azo Sans Lt" w:hAnsi="Azo Sans Lt"/>
          <w:color w:val="000000" w:themeColor="text1"/>
          <w:sz w:val="22"/>
          <w:szCs w:val="22"/>
        </w:rPr>
        <w:t>al siguiente ordenamiento:</w:t>
      </w:r>
      <w:r w:rsidRPr="006315E9">
        <w:rPr>
          <w:rFonts w:ascii="Azo Sans Lt" w:hAnsi="Azo Sans Lt"/>
          <w:color w:val="000000" w:themeColor="text1"/>
          <w:sz w:val="22"/>
          <w:szCs w:val="22"/>
          <w:highlight w:val="red"/>
        </w:rPr>
        <w:t xml:space="preserve"> </w:t>
      </w:r>
    </w:p>
    <w:p w14:paraId="7C1B0AAC" w14:textId="77777777" w:rsidR="006A4486" w:rsidRPr="006315E9" w:rsidRDefault="006A4486" w:rsidP="003C4948">
      <w:pPr>
        <w:suppressAutoHyphens/>
        <w:spacing w:after="200" w:line="276" w:lineRule="auto"/>
        <w:ind w:left="1134" w:hanging="425"/>
        <w:contextualSpacing/>
        <w:jc w:val="both"/>
        <w:rPr>
          <w:rFonts w:ascii="Azo Sans Lt" w:hAnsi="Azo Sans Lt"/>
          <w:bCs/>
          <w:color w:val="000000" w:themeColor="text1"/>
          <w:spacing w:val="-2"/>
          <w:sz w:val="22"/>
          <w:szCs w:val="22"/>
          <w:highlight w:val="red"/>
        </w:rPr>
      </w:pPr>
    </w:p>
    <w:p w14:paraId="2C4C172E" w14:textId="313FC5A8" w:rsidR="007C59AC" w:rsidRPr="006315E9" w:rsidRDefault="006A4486" w:rsidP="003C4948">
      <w:pPr>
        <w:suppressAutoHyphens/>
        <w:spacing w:after="200" w:line="276" w:lineRule="auto"/>
        <w:ind w:left="709"/>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 xml:space="preserve">Ley de Disciplina </w:t>
      </w:r>
      <w:r w:rsidR="00704A4E" w:rsidRPr="006315E9">
        <w:rPr>
          <w:rFonts w:ascii="Azo Sans Lt" w:hAnsi="Azo Sans Lt"/>
          <w:b/>
          <w:color w:val="000000" w:themeColor="text1"/>
          <w:sz w:val="22"/>
          <w:szCs w:val="22"/>
        </w:rPr>
        <w:t>Financiera</w:t>
      </w:r>
    </w:p>
    <w:p w14:paraId="64FA9F36" w14:textId="6C56B6F7" w:rsidR="003C5E5F" w:rsidRPr="006315E9" w:rsidRDefault="003C5E5F" w:rsidP="003C4948">
      <w:pPr>
        <w:suppressAutoHyphens/>
        <w:spacing w:after="200" w:line="276" w:lineRule="auto"/>
        <w:ind w:left="709"/>
        <w:contextualSpacing/>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 xml:space="preserve">Art. </w:t>
      </w:r>
      <w:r w:rsidR="006A4486" w:rsidRPr="006315E9">
        <w:rPr>
          <w:rFonts w:ascii="Azo Sans Lt" w:hAnsi="Azo Sans Lt"/>
          <w:bCs/>
          <w:color w:val="000000" w:themeColor="text1"/>
          <w:spacing w:val="-2"/>
          <w:sz w:val="22"/>
          <w:szCs w:val="22"/>
        </w:rPr>
        <w:t xml:space="preserve">88 </w:t>
      </w:r>
      <w:r w:rsidR="004D5A6A" w:rsidRPr="006315E9">
        <w:rPr>
          <w:rFonts w:ascii="Azo Sans Lt" w:hAnsi="Azo Sans Lt"/>
          <w:bCs/>
          <w:color w:val="000000" w:themeColor="text1"/>
          <w:spacing w:val="-2"/>
          <w:sz w:val="22"/>
          <w:szCs w:val="22"/>
        </w:rPr>
        <w:t>L</w:t>
      </w:r>
      <w:r w:rsidR="00CB4890" w:rsidRPr="006315E9">
        <w:rPr>
          <w:rFonts w:ascii="Azo Sans Lt" w:hAnsi="Azo Sans Lt"/>
          <w:bCs/>
          <w:color w:val="000000" w:themeColor="text1"/>
          <w:spacing w:val="-2"/>
          <w:sz w:val="22"/>
          <w:szCs w:val="22"/>
        </w:rPr>
        <w:t>as D</w:t>
      </w:r>
      <w:r w:rsidRPr="006315E9">
        <w:rPr>
          <w:rFonts w:ascii="Azo Sans Lt" w:hAnsi="Azo Sans Lt"/>
          <w:bCs/>
          <w:color w:val="000000" w:themeColor="text1"/>
          <w:spacing w:val="-2"/>
          <w:sz w:val="22"/>
          <w:szCs w:val="22"/>
        </w:rPr>
        <w:t xml:space="preserve">ependencias </w:t>
      </w:r>
      <w:r w:rsidR="005744C5" w:rsidRPr="006315E9">
        <w:rPr>
          <w:rFonts w:ascii="Azo Sans Lt" w:hAnsi="Azo Sans Lt"/>
          <w:bCs/>
          <w:color w:val="000000" w:themeColor="text1"/>
          <w:spacing w:val="-2"/>
          <w:sz w:val="22"/>
          <w:szCs w:val="22"/>
        </w:rPr>
        <w:t xml:space="preserve">o las </w:t>
      </w:r>
      <w:r w:rsidR="00CB4890" w:rsidRPr="006315E9">
        <w:rPr>
          <w:rFonts w:ascii="Azo Sans Lt" w:hAnsi="Azo Sans Lt"/>
          <w:bCs/>
          <w:color w:val="000000" w:themeColor="text1"/>
          <w:spacing w:val="-2"/>
          <w:sz w:val="22"/>
          <w:szCs w:val="22"/>
        </w:rPr>
        <w:t>E</w:t>
      </w:r>
      <w:r w:rsidRPr="006315E9">
        <w:rPr>
          <w:rFonts w:ascii="Azo Sans Lt" w:hAnsi="Azo Sans Lt"/>
          <w:bCs/>
          <w:color w:val="000000" w:themeColor="text1"/>
          <w:spacing w:val="-2"/>
          <w:sz w:val="22"/>
          <w:szCs w:val="22"/>
        </w:rPr>
        <w:t>ntidades</w:t>
      </w:r>
      <w:r w:rsidR="004D5A6A" w:rsidRPr="006315E9">
        <w:rPr>
          <w:rFonts w:ascii="Azo Sans Lt" w:hAnsi="Azo Sans Lt"/>
          <w:bCs/>
          <w:color w:val="000000" w:themeColor="text1"/>
          <w:spacing w:val="-2"/>
          <w:sz w:val="22"/>
          <w:szCs w:val="22"/>
        </w:rPr>
        <w:t xml:space="preserve"> a través de su respectiva dependencia coordinadora de sector,</w:t>
      </w:r>
      <w:r w:rsidRPr="006315E9">
        <w:rPr>
          <w:rFonts w:ascii="Azo Sans Lt" w:hAnsi="Azo Sans Lt"/>
          <w:bCs/>
          <w:color w:val="000000" w:themeColor="text1"/>
          <w:spacing w:val="-2"/>
          <w:sz w:val="22"/>
          <w:szCs w:val="22"/>
        </w:rPr>
        <w:t xml:space="preserve"> deberán realizar una evaluación de resultados de </w:t>
      </w:r>
      <w:r w:rsidR="005744C5" w:rsidRPr="006315E9">
        <w:rPr>
          <w:rFonts w:ascii="Azo Sans Lt" w:hAnsi="Azo Sans Lt"/>
          <w:bCs/>
          <w:color w:val="000000" w:themeColor="text1"/>
          <w:spacing w:val="-2"/>
          <w:sz w:val="22"/>
          <w:szCs w:val="22"/>
        </w:rPr>
        <w:t xml:space="preserve">los </w:t>
      </w:r>
      <w:r w:rsidRPr="006315E9">
        <w:rPr>
          <w:rFonts w:ascii="Azo Sans Lt" w:hAnsi="Azo Sans Lt"/>
          <w:bCs/>
          <w:color w:val="000000" w:themeColor="text1"/>
          <w:spacing w:val="-2"/>
          <w:sz w:val="22"/>
          <w:szCs w:val="22"/>
        </w:rPr>
        <w:t xml:space="preserve">programas, por conducto de expertos, instituciones académicas y de investigación u organismos especializados, de carácter nacional o internacional, que cuenten con reconocimiento y experiencia en las </w:t>
      </w:r>
      <w:r w:rsidR="003C4948" w:rsidRPr="006315E9">
        <w:rPr>
          <w:rFonts w:ascii="Azo Sans Lt" w:hAnsi="Azo Sans Lt"/>
          <w:bCs/>
          <w:color w:val="000000" w:themeColor="text1"/>
          <w:spacing w:val="-2"/>
          <w:sz w:val="22"/>
          <w:szCs w:val="22"/>
        </w:rPr>
        <w:t>respectivas materias</w:t>
      </w:r>
      <w:r w:rsidR="005744C5" w:rsidRPr="006315E9">
        <w:rPr>
          <w:rFonts w:ascii="Azo Sans Lt" w:hAnsi="Azo Sans Lt"/>
          <w:bCs/>
          <w:color w:val="000000" w:themeColor="text1"/>
          <w:spacing w:val="-2"/>
          <w:sz w:val="22"/>
          <w:szCs w:val="22"/>
        </w:rPr>
        <w:t xml:space="preserve"> </w:t>
      </w:r>
      <w:r w:rsidRPr="006315E9">
        <w:rPr>
          <w:rFonts w:ascii="Azo Sans Lt" w:hAnsi="Azo Sans Lt"/>
          <w:bCs/>
          <w:color w:val="000000" w:themeColor="text1"/>
          <w:spacing w:val="-2"/>
          <w:sz w:val="22"/>
          <w:szCs w:val="22"/>
        </w:rPr>
        <w:t xml:space="preserve">de </w:t>
      </w:r>
      <w:r w:rsidR="005744C5" w:rsidRPr="006315E9">
        <w:rPr>
          <w:rFonts w:ascii="Azo Sans Lt" w:hAnsi="Azo Sans Lt"/>
          <w:bCs/>
          <w:color w:val="000000" w:themeColor="text1"/>
          <w:spacing w:val="-2"/>
          <w:sz w:val="22"/>
          <w:szCs w:val="22"/>
        </w:rPr>
        <w:t xml:space="preserve">los </w:t>
      </w:r>
      <w:r w:rsidRPr="006315E9">
        <w:rPr>
          <w:rFonts w:ascii="Azo Sans Lt" w:hAnsi="Azo Sans Lt"/>
          <w:bCs/>
          <w:color w:val="000000" w:themeColor="text1"/>
          <w:spacing w:val="-2"/>
          <w:sz w:val="22"/>
          <w:szCs w:val="22"/>
        </w:rPr>
        <w:t>programas.</w:t>
      </w:r>
    </w:p>
    <w:p w14:paraId="3B7130F7" w14:textId="77777777" w:rsidR="00B37608" w:rsidRPr="006315E9" w:rsidRDefault="00B37608" w:rsidP="003C4948">
      <w:pPr>
        <w:suppressAutoHyphens/>
        <w:spacing w:after="200" w:line="276" w:lineRule="auto"/>
        <w:ind w:left="709"/>
        <w:contextualSpacing/>
        <w:jc w:val="both"/>
        <w:rPr>
          <w:rFonts w:ascii="Azo Sans Lt" w:hAnsi="Azo Sans Lt"/>
          <w:bCs/>
          <w:color w:val="000000" w:themeColor="text1"/>
          <w:spacing w:val="-2"/>
          <w:sz w:val="22"/>
          <w:szCs w:val="22"/>
        </w:rPr>
      </w:pPr>
    </w:p>
    <w:p w14:paraId="7DBAD7D2" w14:textId="7F2A9233" w:rsidR="002F1445" w:rsidRPr="006315E9" w:rsidRDefault="00B37608" w:rsidP="003C4948">
      <w:pPr>
        <w:autoSpaceDE w:val="0"/>
        <w:autoSpaceDN w:val="0"/>
        <w:adjustRightInd w:val="0"/>
        <w:spacing w:line="276" w:lineRule="auto"/>
        <w:ind w:left="709"/>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Las Dependencias o E</w:t>
      </w:r>
      <w:r w:rsidR="002F1445" w:rsidRPr="006315E9">
        <w:rPr>
          <w:rFonts w:ascii="Azo Sans Lt" w:hAnsi="Azo Sans Lt"/>
          <w:bCs/>
          <w:color w:val="000000" w:themeColor="text1"/>
          <w:spacing w:val="-2"/>
          <w:sz w:val="22"/>
          <w:szCs w:val="22"/>
        </w:rPr>
        <w:t xml:space="preserve">ntidades deberán presentar por medio de las Unidades Evaluadoras, los informes finales de sus evaluaciones a la </w:t>
      </w:r>
      <w:r w:rsidR="008451E3" w:rsidRPr="006315E9">
        <w:rPr>
          <w:rFonts w:ascii="Azo Sans Lt" w:hAnsi="Azo Sans Lt"/>
          <w:bCs/>
          <w:color w:val="000000" w:themeColor="text1"/>
          <w:spacing w:val="-2"/>
          <w:sz w:val="22"/>
          <w:szCs w:val="22"/>
        </w:rPr>
        <w:t>SECONT</w:t>
      </w:r>
      <w:r w:rsidR="002F1445" w:rsidRPr="006315E9">
        <w:rPr>
          <w:rFonts w:ascii="Azo Sans Lt" w:hAnsi="Azo Sans Lt"/>
          <w:bCs/>
          <w:color w:val="000000" w:themeColor="text1"/>
          <w:spacing w:val="-2"/>
          <w:sz w:val="22"/>
          <w:szCs w:val="22"/>
        </w:rPr>
        <w:t xml:space="preserve"> y quienes las Leyes obliguen de acuerdo con los plazos establecidos en el cronograma de ejecución en el Programa Anual de Evaluación (</w:t>
      </w:r>
      <w:r w:rsidR="0081626A" w:rsidRPr="006315E9">
        <w:rPr>
          <w:rFonts w:ascii="Azo Sans Lt" w:hAnsi="Azo Sans Lt"/>
          <w:bCs/>
          <w:color w:val="000000" w:themeColor="text1"/>
          <w:spacing w:val="-2"/>
          <w:sz w:val="22"/>
          <w:szCs w:val="22"/>
        </w:rPr>
        <w:t>en lo sucesiv</w:t>
      </w:r>
      <w:r w:rsidR="008451E3" w:rsidRPr="006315E9">
        <w:rPr>
          <w:rFonts w:ascii="Azo Sans Lt" w:hAnsi="Azo Sans Lt"/>
          <w:bCs/>
          <w:color w:val="000000" w:themeColor="text1"/>
          <w:spacing w:val="-2"/>
          <w:sz w:val="22"/>
          <w:szCs w:val="22"/>
        </w:rPr>
        <w:t>o</w:t>
      </w:r>
      <w:r w:rsidR="0081626A" w:rsidRPr="006315E9">
        <w:rPr>
          <w:rFonts w:ascii="Azo Sans Lt" w:hAnsi="Azo Sans Lt"/>
          <w:bCs/>
          <w:color w:val="000000" w:themeColor="text1"/>
          <w:spacing w:val="-2"/>
          <w:sz w:val="22"/>
          <w:szCs w:val="22"/>
        </w:rPr>
        <w:t xml:space="preserve"> </w:t>
      </w:r>
      <w:r w:rsidR="002F1445" w:rsidRPr="006315E9">
        <w:rPr>
          <w:rFonts w:ascii="Azo Sans Lt" w:hAnsi="Azo Sans Lt"/>
          <w:bCs/>
          <w:color w:val="000000" w:themeColor="text1"/>
          <w:spacing w:val="-2"/>
          <w:sz w:val="22"/>
          <w:szCs w:val="22"/>
        </w:rPr>
        <w:t>PAE) y aún no sean parte del mismo.</w:t>
      </w:r>
    </w:p>
    <w:p w14:paraId="03F68123" w14:textId="2FA3300F" w:rsidR="002F1445" w:rsidRPr="006315E9" w:rsidRDefault="002F1445" w:rsidP="003C4948">
      <w:pPr>
        <w:autoSpaceDE w:val="0"/>
        <w:autoSpaceDN w:val="0"/>
        <w:adjustRightInd w:val="0"/>
        <w:spacing w:line="276" w:lineRule="auto"/>
        <w:ind w:left="709"/>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 xml:space="preserve">Los informes finales de las evaluaciones) deberán difundirse a través de las páginas de internet de los entes públicos, 30 días posteriores a la conclusión de las </w:t>
      </w:r>
      <w:r w:rsidR="008A7964" w:rsidRPr="006315E9">
        <w:rPr>
          <w:rFonts w:ascii="Azo Sans Lt" w:hAnsi="Azo Sans Lt"/>
          <w:bCs/>
          <w:color w:val="000000" w:themeColor="text1"/>
          <w:spacing w:val="-2"/>
          <w:sz w:val="22"/>
          <w:szCs w:val="22"/>
        </w:rPr>
        <w:t xml:space="preserve">mismas. </w:t>
      </w:r>
    </w:p>
    <w:p w14:paraId="22C4DA48" w14:textId="77777777" w:rsidR="007236D9" w:rsidRPr="006315E9" w:rsidRDefault="007236D9" w:rsidP="003C4948">
      <w:pPr>
        <w:spacing w:after="200" w:line="276" w:lineRule="auto"/>
        <w:rPr>
          <w:rFonts w:ascii="Azo Sans Lt" w:hAnsi="Azo Sans Lt"/>
          <w:bCs/>
          <w:color w:val="000000" w:themeColor="text1"/>
          <w:spacing w:val="-2"/>
          <w:sz w:val="22"/>
          <w:szCs w:val="22"/>
        </w:rPr>
      </w:pPr>
    </w:p>
    <w:p w14:paraId="74F6C954" w14:textId="0F38994C" w:rsidR="003C5E5F" w:rsidRPr="006315E9" w:rsidRDefault="003C5E5F" w:rsidP="003C4948">
      <w:pPr>
        <w:numPr>
          <w:ilvl w:val="0"/>
          <w:numId w:val="3"/>
        </w:numPr>
        <w:tabs>
          <w:tab w:val="clear" w:pos="2520"/>
          <w:tab w:val="left" w:pos="993"/>
        </w:tabs>
        <w:suppressAutoHyphens/>
        <w:spacing w:after="60" w:line="276" w:lineRule="auto"/>
        <w:ind w:left="709" w:firstLine="27"/>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 xml:space="preserve">Art. </w:t>
      </w:r>
      <w:r w:rsidR="00AA63BD" w:rsidRPr="006315E9">
        <w:rPr>
          <w:rFonts w:ascii="Azo Sans Lt" w:hAnsi="Azo Sans Lt"/>
          <w:bCs/>
          <w:color w:val="000000" w:themeColor="text1"/>
          <w:spacing w:val="-2"/>
          <w:sz w:val="22"/>
          <w:szCs w:val="22"/>
        </w:rPr>
        <w:t>89</w:t>
      </w:r>
      <w:r w:rsidRPr="006315E9">
        <w:rPr>
          <w:rFonts w:ascii="Azo Sans Lt" w:hAnsi="Azo Sans Lt"/>
          <w:bCs/>
          <w:color w:val="000000" w:themeColor="text1"/>
          <w:spacing w:val="-2"/>
          <w:sz w:val="22"/>
          <w:szCs w:val="22"/>
        </w:rPr>
        <w:t xml:space="preserve">: </w:t>
      </w:r>
      <w:r w:rsidR="004E005F" w:rsidRPr="006315E9">
        <w:rPr>
          <w:rFonts w:ascii="Azo Sans Lt" w:hAnsi="Azo Sans Lt"/>
          <w:bCs/>
          <w:color w:val="000000" w:themeColor="text1"/>
          <w:spacing w:val="-2"/>
          <w:sz w:val="22"/>
          <w:szCs w:val="22"/>
        </w:rPr>
        <w:t>L</w:t>
      </w:r>
      <w:r w:rsidRPr="006315E9">
        <w:rPr>
          <w:rFonts w:ascii="Azo Sans Lt" w:hAnsi="Azo Sans Lt"/>
          <w:bCs/>
          <w:color w:val="000000" w:themeColor="text1"/>
          <w:spacing w:val="-2"/>
          <w:sz w:val="22"/>
          <w:szCs w:val="22"/>
        </w:rPr>
        <w:t>a evaluación del desempeño se realizará a través de la verificación del grado de cumplimiento de objetivos y metas, con base en indicadores estratégicos y de gestión que permitan conocer los resultados de la aplic</w:t>
      </w:r>
      <w:r w:rsidR="00E621DF" w:rsidRPr="006315E9">
        <w:rPr>
          <w:rFonts w:ascii="Azo Sans Lt" w:hAnsi="Azo Sans Lt"/>
          <w:bCs/>
          <w:color w:val="000000" w:themeColor="text1"/>
          <w:spacing w:val="-2"/>
          <w:sz w:val="22"/>
          <w:szCs w:val="22"/>
        </w:rPr>
        <w:t>ación de los recursos públicos.</w:t>
      </w:r>
      <w:r w:rsidR="00006774" w:rsidRPr="006315E9">
        <w:rPr>
          <w:rFonts w:ascii="Azo Sans Lt" w:hAnsi="Azo Sans Lt"/>
          <w:bCs/>
          <w:color w:val="000000" w:themeColor="text1"/>
          <w:spacing w:val="-2"/>
          <w:sz w:val="22"/>
          <w:szCs w:val="22"/>
        </w:rPr>
        <w:t xml:space="preserve"> Para tal efecto, las instancias públicas a cargo de la evaluación del desempeño se sujetarán a lo siguiente:</w:t>
      </w:r>
    </w:p>
    <w:p w14:paraId="3A969F2A" w14:textId="77777777" w:rsidR="00006774" w:rsidRPr="006315E9" w:rsidRDefault="00006774" w:rsidP="003C4948">
      <w:pPr>
        <w:pStyle w:val="Prrafodelista"/>
        <w:numPr>
          <w:ilvl w:val="0"/>
          <w:numId w:val="24"/>
        </w:numPr>
        <w:autoSpaceDE w:val="0"/>
        <w:autoSpaceDN w:val="0"/>
        <w:adjustRightInd w:val="0"/>
        <w:spacing w:line="276" w:lineRule="auto"/>
        <w:ind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 xml:space="preserve">Efectuarán las evaluaciones por sí mismas o a través de personas físicas y morales especializadas y con experiencia probada en la materia que corresponda evaluar, que cumplan con los requisitos de independencia, imparcialidad, transparencia y los demás que se establezcan en las disposiciones aplicables; </w:t>
      </w:r>
    </w:p>
    <w:p w14:paraId="3F64EDA4" w14:textId="5F68F3DC" w:rsidR="00006774" w:rsidRPr="006315E9" w:rsidRDefault="00006774" w:rsidP="003C4948">
      <w:pPr>
        <w:pStyle w:val="Prrafodelista"/>
        <w:numPr>
          <w:ilvl w:val="0"/>
          <w:numId w:val="24"/>
        </w:numPr>
        <w:autoSpaceDE w:val="0"/>
        <w:autoSpaceDN w:val="0"/>
        <w:adjustRightInd w:val="0"/>
        <w:spacing w:line="276" w:lineRule="auto"/>
        <w:ind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Todas las evaluaciones se harán públicas</w:t>
      </w:r>
      <w:r w:rsidR="003438A3" w:rsidRPr="006315E9">
        <w:rPr>
          <w:rFonts w:ascii="Azo Sans Lt" w:eastAsiaTheme="minorHAnsi" w:hAnsi="Azo Sans Lt" w:cs="ArialMT"/>
          <w:color w:val="000000" w:themeColor="text1"/>
          <w:sz w:val="22"/>
          <w:szCs w:val="22"/>
          <w:lang w:val="es-MX" w:eastAsia="en-US"/>
        </w:rPr>
        <w:t>, deberán apegarse a los lineamientos establecidos en la materia</w:t>
      </w:r>
      <w:r w:rsidRPr="006315E9">
        <w:rPr>
          <w:rFonts w:ascii="Azo Sans Lt" w:eastAsiaTheme="minorHAnsi" w:hAnsi="Azo Sans Lt" w:cs="ArialMT"/>
          <w:color w:val="000000" w:themeColor="text1"/>
          <w:sz w:val="22"/>
          <w:szCs w:val="22"/>
          <w:lang w:val="es-MX" w:eastAsia="en-US"/>
        </w:rPr>
        <w:t xml:space="preserve"> y al menos deberán contener la siguiente información:</w:t>
      </w:r>
    </w:p>
    <w:p w14:paraId="1DFD8F30"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a) Los datos generales del evaluador externo, destacando al coordinador de la evaluación y a su principal equipo colaborador;</w:t>
      </w:r>
    </w:p>
    <w:p w14:paraId="236AD96A"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b) Los datos generales de la unidad administrativa responsable de dar seguimiento a la evaluación al interior de la dependencia o entidad;</w:t>
      </w:r>
    </w:p>
    <w:p w14:paraId="55237B18"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c) La forma de contratación del evaluador externo, de acuerdo con las disposiciones aplicables;</w:t>
      </w:r>
    </w:p>
    <w:p w14:paraId="4D361B6A"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lastRenderedPageBreak/>
        <w:t>d) El tipo de evaluación contratada, así como sus principales objetivos;</w:t>
      </w:r>
    </w:p>
    <w:p w14:paraId="2FC6873A"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e) La base de datos generada con la información de gabinete y/o de campo para el análisis de la evaluación;</w:t>
      </w:r>
    </w:p>
    <w:p w14:paraId="6E3E8E1D"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f) Los instrumentos de recolección de información: cuestionarios, entrevistas y formatos, entre otros;</w:t>
      </w:r>
    </w:p>
    <w:p w14:paraId="70DEEAC3"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g) Una nota metodológica con la descripción de las técnicas y los modelos utilizados, acompañada del diseño por muestreo, especificando los supuestos empleados y las principales características del tamaño y dispersión de la muestra utilizada;</w:t>
      </w:r>
    </w:p>
    <w:p w14:paraId="32E14156" w14:textId="77777777" w:rsidR="00006774"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h) Un resumen ejecutivo en el que se describan los principales hallazgos y recomendaciones del evaluador externo;</w:t>
      </w:r>
    </w:p>
    <w:p w14:paraId="06945BE2" w14:textId="77777777" w:rsidR="007236D9" w:rsidRPr="006315E9" w:rsidRDefault="00006774" w:rsidP="003C4948">
      <w:pPr>
        <w:autoSpaceDE w:val="0"/>
        <w:autoSpaceDN w:val="0"/>
        <w:adjustRightInd w:val="0"/>
        <w:spacing w:line="276" w:lineRule="auto"/>
        <w:ind w:left="1134" w:firstLine="2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i) El costo total de la evaluación externa, especificando la fuente de financiamiento;</w:t>
      </w:r>
    </w:p>
    <w:p w14:paraId="0495A633" w14:textId="77777777" w:rsidR="00EA311D" w:rsidRPr="006315E9" w:rsidRDefault="00006774" w:rsidP="003C4948">
      <w:pPr>
        <w:autoSpaceDE w:val="0"/>
        <w:autoSpaceDN w:val="0"/>
        <w:adjustRightInd w:val="0"/>
        <w:spacing w:line="276" w:lineRule="auto"/>
        <w:ind w:left="1134" w:hanging="56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 xml:space="preserve">III. </w:t>
      </w:r>
      <w:r w:rsidRPr="006315E9">
        <w:rPr>
          <w:rFonts w:ascii="Azo Sans Lt" w:eastAsiaTheme="minorHAnsi" w:hAnsi="Azo Sans Lt" w:cs="ArialMT"/>
          <w:color w:val="000000" w:themeColor="text1"/>
          <w:sz w:val="22"/>
          <w:szCs w:val="22"/>
          <w:lang w:val="es-MX" w:eastAsia="en-US"/>
        </w:rPr>
        <w:tab/>
        <w:t>Las evaluaciones podrán efectuarse respecto de las políticas públicas, los programas correspondientes y el desempeño de las instituciones encargadas de llevarlos a cabo. Para tal efecto, se establecerán los métodos de evaluación que sean necesarios, los cuales podrán utilizarse de acuerdo a las características de las evaluaciones respectivas;</w:t>
      </w:r>
    </w:p>
    <w:p w14:paraId="7C15B5BC" w14:textId="77777777" w:rsidR="00EA311D" w:rsidRPr="006315E9" w:rsidRDefault="00006774" w:rsidP="003C4948">
      <w:pPr>
        <w:autoSpaceDE w:val="0"/>
        <w:autoSpaceDN w:val="0"/>
        <w:adjustRightInd w:val="0"/>
        <w:spacing w:line="276" w:lineRule="auto"/>
        <w:ind w:left="1134" w:hanging="56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 xml:space="preserve">IV. </w:t>
      </w:r>
      <w:r w:rsidR="002F1445" w:rsidRPr="006315E9">
        <w:rPr>
          <w:rFonts w:ascii="Azo Sans Lt" w:eastAsiaTheme="minorHAnsi" w:hAnsi="Azo Sans Lt" w:cs="ArialMT"/>
          <w:color w:val="000000" w:themeColor="text1"/>
          <w:sz w:val="22"/>
          <w:szCs w:val="22"/>
          <w:lang w:val="es-MX" w:eastAsia="en-US"/>
        </w:rPr>
        <w:tab/>
      </w:r>
      <w:r w:rsidRPr="006315E9">
        <w:rPr>
          <w:rFonts w:ascii="Azo Sans Lt" w:eastAsiaTheme="minorHAnsi" w:hAnsi="Azo Sans Lt" w:cs="ArialMT"/>
          <w:color w:val="000000" w:themeColor="text1"/>
          <w:sz w:val="22"/>
          <w:szCs w:val="22"/>
          <w:lang w:val="es-MX" w:eastAsia="en-US"/>
        </w:rPr>
        <w:t>Establecerán programas anuales de evaluaciones;</w:t>
      </w:r>
    </w:p>
    <w:p w14:paraId="67E9EAE0" w14:textId="77777777" w:rsidR="00EA311D" w:rsidRPr="006315E9" w:rsidRDefault="00006774" w:rsidP="003C4948">
      <w:pPr>
        <w:autoSpaceDE w:val="0"/>
        <w:autoSpaceDN w:val="0"/>
        <w:adjustRightInd w:val="0"/>
        <w:spacing w:line="276" w:lineRule="auto"/>
        <w:ind w:left="1134" w:hanging="56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 xml:space="preserve">V. </w:t>
      </w:r>
      <w:r w:rsidR="002F1445" w:rsidRPr="006315E9">
        <w:rPr>
          <w:rFonts w:ascii="Azo Sans Lt" w:eastAsiaTheme="minorHAnsi" w:hAnsi="Azo Sans Lt" w:cs="ArialMT"/>
          <w:color w:val="000000" w:themeColor="text1"/>
          <w:sz w:val="22"/>
          <w:szCs w:val="22"/>
          <w:lang w:val="es-MX" w:eastAsia="en-US"/>
        </w:rPr>
        <w:tab/>
      </w:r>
      <w:r w:rsidRPr="006315E9">
        <w:rPr>
          <w:rFonts w:ascii="Azo Sans Lt" w:eastAsiaTheme="minorHAnsi" w:hAnsi="Azo Sans Lt" w:cs="ArialMT"/>
          <w:color w:val="000000" w:themeColor="text1"/>
          <w:sz w:val="22"/>
          <w:szCs w:val="22"/>
          <w:lang w:val="es-MX" w:eastAsia="en-US"/>
        </w:rPr>
        <w:t xml:space="preserve">Las evaluaciones deberán incluir información desagregada por sexo relacionada con las beneficiarias y beneficiarios de los programas. Asimismo, las dependencias y entidades deberán presentar resultados con base en indicadores, desagregados por sexo, a fin de que se pueda medir el impacto y la incidencia de los programas de manera diferenciada entre mujeres y hombres; y </w:t>
      </w:r>
    </w:p>
    <w:p w14:paraId="13E47DB4" w14:textId="77777777" w:rsidR="00006774" w:rsidRPr="006315E9" w:rsidRDefault="00006774" w:rsidP="003C4948">
      <w:pPr>
        <w:autoSpaceDE w:val="0"/>
        <w:autoSpaceDN w:val="0"/>
        <w:adjustRightInd w:val="0"/>
        <w:spacing w:line="276" w:lineRule="auto"/>
        <w:ind w:left="1134" w:hanging="567"/>
        <w:jc w:val="both"/>
        <w:rPr>
          <w:rFonts w:ascii="Azo Sans Lt" w:eastAsiaTheme="minorHAnsi" w:hAnsi="Azo Sans Lt" w:cs="ArialMT"/>
          <w:color w:val="000000" w:themeColor="text1"/>
          <w:sz w:val="22"/>
          <w:szCs w:val="22"/>
          <w:lang w:val="es-MX" w:eastAsia="en-US"/>
        </w:rPr>
      </w:pPr>
      <w:r w:rsidRPr="006315E9">
        <w:rPr>
          <w:rFonts w:ascii="Azo Sans Lt" w:eastAsiaTheme="minorHAnsi" w:hAnsi="Azo Sans Lt" w:cs="ArialMT"/>
          <w:color w:val="000000" w:themeColor="text1"/>
          <w:sz w:val="22"/>
          <w:szCs w:val="22"/>
          <w:lang w:val="es-MX" w:eastAsia="en-US"/>
        </w:rPr>
        <w:t xml:space="preserve">VI. </w:t>
      </w:r>
      <w:r w:rsidR="002F1445" w:rsidRPr="006315E9">
        <w:rPr>
          <w:rFonts w:ascii="Azo Sans Lt" w:eastAsiaTheme="minorHAnsi" w:hAnsi="Azo Sans Lt" w:cs="ArialMT"/>
          <w:color w:val="000000" w:themeColor="text1"/>
          <w:sz w:val="22"/>
          <w:szCs w:val="22"/>
          <w:lang w:val="es-MX" w:eastAsia="en-US"/>
        </w:rPr>
        <w:tab/>
      </w:r>
      <w:r w:rsidRPr="006315E9">
        <w:rPr>
          <w:rFonts w:ascii="Azo Sans Lt" w:eastAsiaTheme="minorHAnsi" w:hAnsi="Azo Sans Lt" w:cs="ArialMT"/>
          <w:color w:val="000000" w:themeColor="text1"/>
          <w:sz w:val="22"/>
          <w:szCs w:val="22"/>
          <w:lang w:val="es-MX" w:eastAsia="en-US"/>
        </w:rPr>
        <w:t>Deberán dar seguimiento a la atención de las recomendaciones que se</w:t>
      </w:r>
      <w:r w:rsidR="00A730E0" w:rsidRPr="006315E9">
        <w:rPr>
          <w:rFonts w:ascii="Azo Sans Lt" w:eastAsiaTheme="minorHAnsi" w:hAnsi="Azo Sans Lt" w:cs="ArialMT"/>
          <w:color w:val="000000" w:themeColor="text1"/>
          <w:sz w:val="22"/>
          <w:szCs w:val="22"/>
          <w:lang w:val="es-MX" w:eastAsia="en-US"/>
        </w:rPr>
        <w:t xml:space="preserve"> </w:t>
      </w:r>
      <w:r w:rsidRPr="006315E9">
        <w:rPr>
          <w:rFonts w:ascii="Azo Sans Lt" w:eastAsiaTheme="minorHAnsi" w:hAnsi="Azo Sans Lt" w:cs="ArialMT"/>
          <w:color w:val="000000" w:themeColor="text1"/>
          <w:sz w:val="22"/>
          <w:szCs w:val="22"/>
          <w:lang w:val="es-MX" w:eastAsia="en-US"/>
        </w:rPr>
        <w:t>emitan derivado de las evaluaciones correspondientes.</w:t>
      </w:r>
    </w:p>
    <w:p w14:paraId="3FB70C33" w14:textId="77777777" w:rsidR="00006774" w:rsidRPr="006315E9" w:rsidRDefault="00006774" w:rsidP="003C4948">
      <w:pPr>
        <w:suppressAutoHyphens/>
        <w:spacing w:after="60" w:line="276" w:lineRule="auto"/>
        <w:jc w:val="both"/>
        <w:rPr>
          <w:rFonts w:ascii="Azo Sans Lt" w:hAnsi="Azo Sans Lt"/>
          <w:bCs/>
          <w:color w:val="000000" w:themeColor="text1"/>
          <w:spacing w:val="-2"/>
          <w:sz w:val="22"/>
          <w:szCs w:val="22"/>
        </w:rPr>
      </w:pPr>
    </w:p>
    <w:p w14:paraId="3FD5017C" w14:textId="79615EA5" w:rsidR="00C12741" w:rsidRPr="006315E9" w:rsidRDefault="003C5E5F" w:rsidP="003C4948">
      <w:pPr>
        <w:numPr>
          <w:ilvl w:val="0"/>
          <w:numId w:val="3"/>
        </w:numPr>
        <w:tabs>
          <w:tab w:val="clear" w:pos="2520"/>
        </w:tabs>
        <w:suppressAutoHyphens/>
        <w:spacing w:after="60" w:line="276" w:lineRule="auto"/>
        <w:ind w:left="540" w:firstLine="27"/>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Art.</w:t>
      </w:r>
      <w:r w:rsidR="002F1445" w:rsidRPr="006315E9">
        <w:rPr>
          <w:rFonts w:ascii="Azo Sans Lt" w:hAnsi="Azo Sans Lt"/>
          <w:bCs/>
          <w:color w:val="000000" w:themeColor="text1"/>
          <w:spacing w:val="-2"/>
          <w:sz w:val="22"/>
          <w:szCs w:val="22"/>
        </w:rPr>
        <w:t>90</w:t>
      </w:r>
      <w:r w:rsidRPr="006315E9">
        <w:rPr>
          <w:rFonts w:ascii="Azo Sans Lt" w:hAnsi="Azo Sans Lt"/>
          <w:bCs/>
          <w:color w:val="000000" w:themeColor="text1"/>
          <w:spacing w:val="-2"/>
          <w:sz w:val="22"/>
          <w:szCs w:val="22"/>
        </w:rPr>
        <w:t xml:space="preserve">: </w:t>
      </w:r>
      <w:r w:rsidR="00A730E0" w:rsidRPr="006315E9">
        <w:rPr>
          <w:rFonts w:ascii="Azo Sans Lt" w:hAnsi="Azo Sans Lt"/>
          <w:bCs/>
          <w:color w:val="000000" w:themeColor="text1"/>
          <w:spacing w:val="-2"/>
          <w:sz w:val="22"/>
          <w:szCs w:val="22"/>
        </w:rPr>
        <w:t>La</w:t>
      </w:r>
      <w:r w:rsidR="0060494A" w:rsidRPr="006315E9">
        <w:rPr>
          <w:rFonts w:ascii="Azo Sans Lt" w:hAnsi="Azo Sans Lt"/>
          <w:bCs/>
          <w:color w:val="000000" w:themeColor="text1"/>
          <w:spacing w:val="-2"/>
          <w:sz w:val="22"/>
          <w:szCs w:val="22"/>
        </w:rPr>
        <w:t xml:space="preserve"> </w:t>
      </w:r>
      <w:r w:rsidR="003C4948" w:rsidRPr="006315E9">
        <w:rPr>
          <w:rFonts w:ascii="Azo Sans Lt" w:hAnsi="Azo Sans Lt"/>
          <w:bCs/>
          <w:color w:val="000000" w:themeColor="text1"/>
          <w:spacing w:val="-2"/>
          <w:sz w:val="22"/>
          <w:szCs w:val="22"/>
        </w:rPr>
        <w:t>SEFIN y</w:t>
      </w:r>
      <w:r w:rsidR="00B37608" w:rsidRPr="006315E9">
        <w:rPr>
          <w:rFonts w:ascii="Azo Sans Lt" w:hAnsi="Azo Sans Lt"/>
          <w:bCs/>
          <w:color w:val="000000" w:themeColor="text1"/>
          <w:spacing w:val="-2"/>
          <w:sz w:val="22"/>
          <w:szCs w:val="22"/>
        </w:rPr>
        <w:t xml:space="preserve"> la</w:t>
      </w:r>
      <w:r w:rsidR="00A730E0" w:rsidRPr="006315E9">
        <w:rPr>
          <w:rFonts w:ascii="Azo Sans Lt" w:hAnsi="Azo Sans Lt"/>
          <w:bCs/>
          <w:color w:val="000000" w:themeColor="text1"/>
          <w:spacing w:val="-2"/>
          <w:sz w:val="22"/>
          <w:szCs w:val="22"/>
        </w:rPr>
        <w:t xml:space="preserve"> </w:t>
      </w:r>
      <w:r w:rsidR="003C4948" w:rsidRPr="006315E9">
        <w:rPr>
          <w:rFonts w:ascii="Azo Sans Lt" w:hAnsi="Azo Sans Lt"/>
          <w:bCs/>
          <w:color w:val="000000" w:themeColor="text1"/>
          <w:spacing w:val="-2"/>
          <w:sz w:val="22"/>
          <w:szCs w:val="22"/>
        </w:rPr>
        <w:t>SECONT, en</w:t>
      </w:r>
      <w:r w:rsidR="00A730E0" w:rsidRPr="006315E9">
        <w:rPr>
          <w:rFonts w:ascii="Azo Sans Lt" w:hAnsi="Azo Sans Lt"/>
          <w:bCs/>
          <w:color w:val="000000" w:themeColor="text1"/>
          <w:spacing w:val="-2"/>
          <w:sz w:val="22"/>
          <w:szCs w:val="22"/>
        </w:rPr>
        <w:t xml:space="preserve"> el ámbito de su</w:t>
      </w:r>
      <w:r w:rsidR="00006ABC" w:rsidRPr="006315E9">
        <w:rPr>
          <w:rFonts w:ascii="Azo Sans Lt" w:hAnsi="Azo Sans Lt"/>
          <w:bCs/>
          <w:color w:val="000000" w:themeColor="text1"/>
          <w:spacing w:val="-2"/>
          <w:sz w:val="22"/>
          <w:szCs w:val="22"/>
        </w:rPr>
        <w:t>s</w:t>
      </w:r>
      <w:r w:rsidR="00A730E0" w:rsidRPr="006315E9">
        <w:rPr>
          <w:rFonts w:ascii="Azo Sans Lt" w:hAnsi="Azo Sans Lt"/>
          <w:bCs/>
          <w:color w:val="000000" w:themeColor="text1"/>
          <w:spacing w:val="-2"/>
          <w:sz w:val="22"/>
          <w:szCs w:val="22"/>
        </w:rPr>
        <w:t xml:space="preserve"> respectivas competencias, </w:t>
      </w:r>
      <w:r w:rsidRPr="006315E9">
        <w:rPr>
          <w:rFonts w:ascii="Azo Sans Lt" w:hAnsi="Azo Sans Lt"/>
          <w:bCs/>
          <w:color w:val="000000" w:themeColor="text1"/>
          <w:spacing w:val="-2"/>
          <w:sz w:val="22"/>
          <w:szCs w:val="22"/>
        </w:rPr>
        <w:t>verificarán periódicamente</w:t>
      </w:r>
      <w:r w:rsidR="00AA63BD" w:rsidRPr="006315E9">
        <w:rPr>
          <w:rFonts w:ascii="Azo Sans Lt" w:hAnsi="Azo Sans Lt"/>
          <w:bCs/>
          <w:color w:val="000000" w:themeColor="text1"/>
          <w:spacing w:val="-2"/>
          <w:sz w:val="22"/>
          <w:szCs w:val="22"/>
        </w:rPr>
        <w:t>,</w:t>
      </w:r>
      <w:r w:rsidRPr="006315E9">
        <w:rPr>
          <w:rFonts w:ascii="Azo Sans Lt" w:hAnsi="Azo Sans Lt"/>
          <w:bCs/>
          <w:color w:val="000000" w:themeColor="text1"/>
          <w:spacing w:val="-2"/>
          <w:sz w:val="22"/>
          <w:szCs w:val="22"/>
        </w:rPr>
        <w:t xml:space="preserve"> los resultados</w:t>
      </w:r>
      <w:r w:rsidR="00A730E0" w:rsidRPr="006315E9">
        <w:rPr>
          <w:rFonts w:ascii="Azo Sans Lt" w:hAnsi="Azo Sans Lt"/>
          <w:bCs/>
          <w:color w:val="000000" w:themeColor="text1"/>
          <w:spacing w:val="-2"/>
          <w:sz w:val="22"/>
          <w:szCs w:val="22"/>
        </w:rPr>
        <w:t xml:space="preserve"> </w:t>
      </w:r>
      <w:r w:rsidRPr="006315E9">
        <w:rPr>
          <w:rFonts w:ascii="Azo Sans Lt" w:hAnsi="Azo Sans Lt"/>
          <w:bCs/>
          <w:color w:val="000000" w:themeColor="text1"/>
          <w:spacing w:val="-2"/>
          <w:sz w:val="22"/>
          <w:szCs w:val="22"/>
        </w:rPr>
        <w:t>de ejecución de los programas</w:t>
      </w:r>
      <w:r w:rsidR="00C12741" w:rsidRPr="006315E9">
        <w:rPr>
          <w:rFonts w:ascii="Azo Sans Lt" w:hAnsi="Azo Sans Lt"/>
          <w:bCs/>
          <w:color w:val="000000" w:themeColor="text1"/>
          <w:spacing w:val="-2"/>
          <w:sz w:val="22"/>
          <w:szCs w:val="22"/>
        </w:rPr>
        <w:t xml:space="preserve"> y presupuestos</w:t>
      </w:r>
      <w:r w:rsidR="00181056" w:rsidRPr="006315E9">
        <w:rPr>
          <w:rFonts w:ascii="Azo Sans Lt" w:hAnsi="Azo Sans Lt"/>
          <w:bCs/>
          <w:color w:val="000000" w:themeColor="text1"/>
          <w:spacing w:val="-2"/>
          <w:sz w:val="22"/>
          <w:szCs w:val="22"/>
        </w:rPr>
        <w:t xml:space="preserve"> de las Dependencias y E</w:t>
      </w:r>
      <w:r w:rsidRPr="006315E9">
        <w:rPr>
          <w:rFonts w:ascii="Azo Sans Lt" w:hAnsi="Azo Sans Lt"/>
          <w:bCs/>
          <w:color w:val="000000" w:themeColor="text1"/>
          <w:spacing w:val="-2"/>
          <w:sz w:val="22"/>
          <w:szCs w:val="22"/>
        </w:rPr>
        <w:t>ntidades, con base en el sistema de evaluación del desempeño, entre otros, para identificar la eficiencia, economía, eficacia, y la calidad en la Administración Pública Estatal</w:t>
      </w:r>
      <w:r w:rsidR="00C12741" w:rsidRPr="006315E9">
        <w:rPr>
          <w:rFonts w:ascii="Azo Sans Lt" w:hAnsi="Azo Sans Lt"/>
          <w:bCs/>
          <w:color w:val="000000" w:themeColor="text1"/>
          <w:spacing w:val="-2"/>
          <w:sz w:val="22"/>
          <w:szCs w:val="22"/>
        </w:rPr>
        <w:t>,</w:t>
      </w:r>
      <w:r w:rsidRPr="006315E9">
        <w:rPr>
          <w:rFonts w:ascii="Azo Sans Lt" w:hAnsi="Azo Sans Lt"/>
          <w:bCs/>
          <w:color w:val="000000" w:themeColor="text1"/>
          <w:spacing w:val="-2"/>
          <w:sz w:val="22"/>
          <w:szCs w:val="22"/>
        </w:rPr>
        <w:t xml:space="preserve"> así como aplicar las medidas conducentes.</w:t>
      </w:r>
      <w:r w:rsidR="00A730E0" w:rsidRPr="006315E9">
        <w:rPr>
          <w:rFonts w:ascii="Azo Sans Lt" w:hAnsi="Azo Sans Lt"/>
          <w:bCs/>
          <w:color w:val="000000" w:themeColor="text1"/>
          <w:spacing w:val="-2"/>
          <w:sz w:val="22"/>
          <w:szCs w:val="22"/>
        </w:rPr>
        <w:t xml:space="preserve"> Igual obligación y para los mismos fines tendrán </w:t>
      </w:r>
      <w:r w:rsidR="00CF3F64" w:rsidRPr="006315E9">
        <w:rPr>
          <w:rFonts w:ascii="Azo Sans Lt" w:hAnsi="Azo Sans Lt"/>
          <w:bCs/>
          <w:color w:val="000000" w:themeColor="text1"/>
          <w:spacing w:val="-2"/>
          <w:sz w:val="22"/>
          <w:szCs w:val="22"/>
        </w:rPr>
        <w:t>las dependencias</w:t>
      </w:r>
      <w:r w:rsidR="00A730E0" w:rsidRPr="006315E9">
        <w:rPr>
          <w:rFonts w:ascii="Azo Sans Lt" w:hAnsi="Azo Sans Lt"/>
          <w:bCs/>
          <w:color w:val="000000" w:themeColor="text1"/>
          <w:spacing w:val="-2"/>
          <w:sz w:val="22"/>
          <w:szCs w:val="22"/>
        </w:rPr>
        <w:t>, respecto de sus entidades coordinadoras.</w:t>
      </w:r>
    </w:p>
    <w:p w14:paraId="4F9687F2" w14:textId="77777777" w:rsidR="00C12741" w:rsidRPr="006315E9" w:rsidRDefault="00C12741" w:rsidP="003C4948">
      <w:pPr>
        <w:suppressAutoHyphens/>
        <w:spacing w:after="60" w:line="276" w:lineRule="auto"/>
        <w:ind w:left="567"/>
        <w:jc w:val="both"/>
        <w:rPr>
          <w:rFonts w:ascii="Azo Sans Lt" w:hAnsi="Azo Sans Lt"/>
          <w:bCs/>
          <w:color w:val="000000" w:themeColor="text1"/>
          <w:spacing w:val="-2"/>
          <w:sz w:val="22"/>
          <w:szCs w:val="22"/>
        </w:rPr>
      </w:pPr>
    </w:p>
    <w:p w14:paraId="1CE04249" w14:textId="3DA42406" w:rsidR="002F1445" w:rsidRPr="006315E9" w:rsidRDefault="003C5E5F" w:rsidP="003C4948">
      <w:pPr>
        <w:suppressAutoHyphens/>
        <w:spacing w:after="60" w:line="276" w:lineRule="auto"/>
        <w:ind w:left="708"/>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 xml:space="preserve">Dicho sistema de evaluación del desempeño </w:t>
      </w:r>
      <w:r w:rsidR="00A730E0" w:rsidRPr="006315E9">
        <w:rPr>
          <w:rFonts w:ascii="Azo Sans Lt" w:hAnsi="Azo Sans Lt"/>
          <w:bCs/>
          <w:color w:val="000000" w:themeColor="text1"/>
          <w:spacing w:val="-2"/>
          <w:sz w:val="22"/>
          <w:szCs w:val="22"/>
        </w:rPr>
        <w:t xml:space="preserve">a que se refiere el párrafo anterior del presente artículo </w:t>
      </w:r>
      <w:r w:rsidRPr="006315E9">
        <w:rPr>
          <w:rFonts w:ascii="Azo Sans Lt" w:hAnsi="Azo Sans Lt"/>
          <w:bCs/>
          <w:color w:val="000000" w:themeColor="text1"/>
          <w:spacing w:val="-2"/>
          <w:sz w:val="22"/>
          <w:szCs w:val="22"/>
        </w:rPr>
        <w:t>será obligatorio para los ejecutores de gasto</w:t>
      </w:r>
      <w:r w:rsidR="00A730E0" w:rsidRPr="006315E9">
        <w:rPr>
          <w:rFonts w:ascii="Azo Sans Lt" w:hAnsi="Azo Sans Lt"/>
          <w:bCs/>
          <w:color w:val="000000" w:themeColor="text1"/>
          <w:spacing w:val="-2"/>
          <w:sz w:val="22"/>
          <w:szCs w:val="22"/>
        </w:rPr>
        <w:t>.</w:t>
      </w:r>
      <w:r w:rsidR="00863976" w:rsidRPr="006315E9">
        <w:rPr>
          <w:rFonts w:ascii="Azo Sans Lt" w:hAnsi="Azo Sans Lt"/>
          <w:bCs/>
          <w:color w:val="000000" w:themeColor="text1"/>
          <w:spacing w:val="-2"/>
          <w:sz w:val="22"/>
          <w:szCs w:val="22"/>
        </w:rPr>
        <w:t xml:space="preserve"> </w:t>
      </w:r>
      <w:r w:rsidR="00863976" w:rsidRPr="006315E9">
        <w:rPr>
          <w:rFonts w:ascii="Azo Sans Lt" w:eastAsiaTheme="minorHAnsi" w:hAnsi="Azo Sans Lt" w:cs="ArialMT"/>
          <w:color w:val="000000" w:themeColor="text1"/>
          <w:sz w:val="22"/>
          <w:szCs w:val="22"/>
          <w:lang w:val="es-MX" w:eastAsia="en-US"/>
        </w:rPr>
        <w:t xml:space="preserve">El precitado sistema incorporará indicadores para evaluar resultados presentados en los informes, el cumplimiento de los criterios establecidos en el párrafo primero del artículo 1 de la </w:t>
      </w:r>
      <w:r w:rsidR="00490A0D" w:rsidRPr="006315E9">
        <w:rPr>
          <w:rFonts w:ascii="Azo Sans Lt" w:hAnsi="Azo Sans Lt"/>
          <w:color w:val="000000" w:themeColor="text1"/>
          <w:sz w:val="22"/>
          <w:szCs w:val="22"/>
        </w:rPr>
        <w:t xml:space="preserve">Ley de Disciplina Financiera. </w:t>
      </w:r>
      <w:r w:rsidR="00C12741" w:rsidRPr="006315E9">
        <w:rPr>
          <w:rFonts w:ascii="Azo Sans Lt" w:eastAsiaTheme="minorHAnsi" w:hAnsi="Azo Sans Lt" w:cs="ArialMT"/>
          <w:color w:val="000000" w:themeColor="text1"/>
          <w:sz w:val="22"/>
          <w:szCs w:val="22"/>
          <w:lang w:val="es-MX" w:eastAsia="en-US"/>
        </w:rPr>
        <w:t>La SEFIN</w:t>
      </w:r>
      <w:r w:rsidR="00863976" w:rsidRPr="006315E9">
        <w:rPr>
          <w:rFonts w:ascii="Azo Sans Lt" w:eastAsiaTheme="minorHAnsi" w:hAnsi="Azo Sans Lt" w:cs="ArialMT"/>
          <w:color w:val="000000" w:themeColor="text1"/>
          <w:sz w:val="22"/>
          <w:szCs w:val="22"/>
          <w:lang w:val="es-MX" w:eastAsia="en-US"/>
        </w:rPr>
        <w:t xml:space="preserve">  y la</w:t>
      </w:r>
      <w:r w:rsidR="008451E3" w:rsidRPr="006315E9">
        <w:rPr>
          <w:rFonts w:ascii="Azo Sans Lt" w:eastAsiaTheme="minorHAnsi" w:hAnsi="Azo Sans Lt" w:cs="ArialMT"/>
          <w:color w:val="000000" w:themeColor="text1"/>
          <w:sz w:val="22"/>
          <w:szCs w:val="22"/>
          <w:lang w:val="es-MX" w:eastAsia="en-US"/>
        </w:rPr>
        <w:t xml:space="preserve"> SECONT</w:t>
      </w:r>
      <w:r w:rsidR="00863976" w:rsidRPr="006315E9">
        <w:rPr>
          <w:rFonts w:ascii="Azo Sans Lt" w:eastAsiaTheme="minorHAnsi" w:hAnsi="Azo Sans Lt" w:cs="ArialMT"/>
          <w:color w:val="000000" w:themeColor="text1"/>
          <w:sz w:val="22"/>
          <w:szCs w:val="22"/>
          <w:lang w:val="es-MX" w:eastAsia="en-US"/>
        </w:rPr>
        <w:t xml:space="preserve"> emitirán las disposiciones para la aplicación y evaluación de los referidos indicadores en las dependencias y entidades; los Poderes Legislativo y Judicial y las personas de derecho público a las que la Constitución Política del Estado de Campeche les otorgue autonomía, así como las universidades y demás instituciones de educación superior del Estado a las que la Constitución Política de los Estados Unidos Mexicanos, la Constitución Política del </w:t>
      </w:r>
      <w:r w:rsidR="00863976" w:rsidRPr="006315E9">
        <w:rPr>
          <w:rFonts w:ascii="Azo Sans Lt" w:eastAsiaTheme="minorHAnsi" w:hAnsi="Azo Sans Lt" w:cs="ArialMT"/>
          <w:color w:val="000000" w:themeColor="text1"/>
          <w:sz w:val="22"/>
          <w:szCs w:val="22"/>
          <w:lang w:val="es-MX" w:eastAsia="en-US"/>
        </w:rPr>
        <w:lastRenderedPageBreak/>
        <w:t>Estado de Campeche u otras leyes otorguen también autonomía emitirán sus respectivas disposiciones por conducto de sus unidades de administración</w:t>
      </w:r>
      <w:r w:rsidR="002F1445" w:rsidRPr="006315E9">
        <w:rPr>
          <w:rFonts w:ascii="Azo Sans Lt" w:eastAsiaTheme="minorHAnsi" w:hAnsi="Azo Sans Lt" w:cs="ArialMT"/>
          <w:color w:val="000000" w:themeColor="text1"/>
          <w:sz w:val="22"/>
          <w:szCs w:val="22"/>
          <w:lang w:val="es-MX" w:eastAsia="en-US"/>
        </w:rPr>
        <w:t xml:space="preserve"> o en su caso se apegarán a las disposiciones emitidas</w:t>
      </w:r>
      <w:r w:rsidR="00863976" w:rsidRPr="006315E9">
        <w:rPr>
          <w:rFonts w:ascii="Azo Sans Lt" w:eastAsiaTheme="minorHAnsi" w:hAnsi="Azo Sans Lt" w:cs="ArialMT"/>
          <w:color w:val="000000" w:themeColor="text1"/>
          <w:sz w:val="22"/>
          <w:szCs w:val="22"/>
          <w:lang w:val="es-MX" w:eastAsia="en-US"/>
        </w:rPr>
        <w:t>.</w:t>
      </w:r>
    </w:p>
    <w:p w14:paraId="625BAEC7" w14:textId="77777777" w:rsidR="002F1445" w:rsidRPr="006315E9" w:rsidRDefault="002F1445" w:rsidP="003C4948">
      <w:pPr>
        <w:suppressAutoHyphens/>
        <w:spacing w:after="200" w:line="276" w:lineRule="auto"/>
        <w:ind w:left="709"/>
        <w:contextualSpacing/>
        <w:jc w:val="both"/>
        <w:rPr>
          <w:rFonts w:ascii="Azo Sans Lt" w:eastAsiaTheme="minorHAnsi" w:hAnsi="Azo Sans Lt" w:cs="ArialMT"/>
          <w:color w:val="000000" w:themeColor="text1"/>
          <w:sz w:val="22"/>
          <w:szCs w:val="22"/>
          <w:lang w:val="es-MX" w:eastAsia="en-US"/>
        </w:rPr>
      </w:pPr>
    </w:p>
    <w:p w14:paraId="724CF456" w14:textId="6EF94DAE" w:rsidR="002F1445" w:rsidRPr="006315E9" w:rsidRDefault="00863976" w:rsidP="003C4948">
      <w:pPr>
        <w:suppressAutoHyphens/>
        <w:spacing w:after="200" w:line="276" w:lineRule="auto"/>
        <w:ind w:left="709"/>
        <w:contextualSpacing/>
        <w:jc w:val="both"/>
        <w:rPr>
          <w:rFonts w:ascii="Azo Sans Lt" w:hAnsi="Azo Sans Lt"/>
          <w:bCs/>
          <w:color w:val="000000" w:themeColor="text1"/>
          <w:spacing w:val="-2"/>
          <w:sz w:val="22"/>
          <w:szCs w:val="22"/>
        </w:rPr>
      </w:pPr>
      <w:r w:rsidRPr="006315E9">
        <w:rPr>
          <w:rFonts w:ascii="Azo Sans Lt" w:eastAsiaTheme="minorHAnsi" w:hAnsi="Azo Sans Lt" w:cs="ArialMT"/>
          <w:color w:val="000000" w:themeColor="text1"/>
          <w:sz w:val="22"/>
          <w:szCs w:val="22"/>
          <w:lang w:val="es-MX" w:eastAsia="en-US"/>
        </w:rPr>
        <w:t>Los indicadores del sistema de evaluación del desempeño deberán formar parte del Presupuesto de Egresos e incorporar sus resultados en la Cuenta Pública, explicando las causas de las variaciones</w:t>
      </w:r>
      <w:r w:rsidR="002F1445" w:rsidRPr="006315E9">
        <w:rPr>
          <w:rFonts w:ascii="Azo Sans Lt" w:eastAsiaTheme="minorHAnsi" w:hAnsi="Azo Sans Lt" w:cs="ArialMT"/>
          <w:color w:val="000000" w:themeColor="text1"/>
          <w:sz w:val="22"/>
          <w:szCs w:val="22"/>
          <w:lang w:val="es-MX" w:eastAsia="en-US"/>
        </w:rPr>
        <w:t>.</w:t>
      </w:r>
      <w:r w:rsidRPr="006315E9">
        <w:rPr>
          <w:rFonts w:ascii="Azo Sans Lt" w:eastAsiaTheme="minorHAnsi" w:hAnsi="Azo Sans Lt" w:cs="ArialMT"/>
          <w:color w:val="000000" w:themeColor="text1"/>
          <w:sz w:val="22"/>
          <w:szCs w:val="22"/>
          <w:lang w:val="es-MX" w:eastAsia="en-US"/>
        </w:rPr>
        <w:t xml:space="preserve"> </w:t>
      </w:r>
    </w:p>
    <w:p w14:paraId="0D46849A" w14:textId="77777777" w:rsidR="002F1445" w:rsidRPr="006315E9" w:rsidRDefault="002F1445" w:rsidP="003C4948">
      <w:pPr>
        <w:suppressAutoHyphens/>
        <w:spacing w:after="200" w:line="276" w:lineRule="auto"/>
        <w:ind w:left="709"/>
        <w:contextualSpacing/>
        <w:jc w:val="both"/>
        <w:rPr>
          <w:rFonts w:ascii="Azo Sans Lt" w:hAnsi="Azo Sans Lt"/>
          <w:bCs/>
          <w:color w:val="000000" w:themeColor="text1"/>
          <w:spacing w:val="-2"/>
          <w:sz w:val="22"/>
          <w:szCs w:val="22"/>
        </w:rPr>
      </w:pPr>
    </w:p>
    <w:p w14:paraId="6559B713" w14:textId="77777777" w:rsidR="003C5E5F" w:rsidRPr="006315E9" w:rsidRDefault="003C5E5F" w:rsidP="003C4948">
      <w:pPr>
        <w:suppressAutoHyphens/>
        <w:spacing w:after="200" w:line="276" w:lineRule="auto"/>
        <w:ind w:left="709"/>
        <w:contextualSpacing/>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Los resultados a los que se refiere este artículo deberán ser considerados para efectos de la programación, presupuestación y ejercicio de los recursos.</w:t>
      </w:r>
    </w:p>
    <w:p w14:paraId="3DD13768" w14:textId="77777777" w:rsidR="002F1445" w:rsidRPr="006315E9" w:rsidRDefault="002F1445" w:rsidP="003C4948">
      <w:pPr>
        <w:suppressAutoHyphens/>
        <w:spacing w:after="200" w:line="276" w:lineRule="auto"/>
        <w:ind w:left="709"/>
        <w:contextualSpacing/>
        <w:jc w:val="both"/>
        <w:rPr>
          <w:rFonts w:ascii="Azo Sans Lt" w:hAnsi="Azo Sans Lt"/>
          <w:bCs/>
          <w:color w:val="000000" w:themeColor="text1"/>
          <w:spacing w:val="-2"/>
          <w:sz w:val="22"/>
          <w:szCs w:val="22"/>
        </w:rPr>
      </w:pPr>
    </w:p>
    <w:p w14:paraId="1E477304" w14:textId="77777777" w:rsidR="003C5E5F" w:rsidRPr="006315E9" w:rsidRDefault="003C5E5F" w:rsidP="003C4948">
      <w:pPr>
        <w:suppressAutoHyphens/>
        <w:spacing w:after="200" w:line="276" w:lineRule="auto"/>
        <w:ind w:left="1134" w:hanging="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En complemento a lo anterior, se han considerado como piezas clave las siguientes:</w:t>
      </w:r>
    </w:p>
    <w:p w14:paraId="361418F3" w14:textId="77777777" w:rsidR="009A7316" w:rsidRPr="006315E9" w:rsidRDefault="009A7316" w:rsidP="003C4948">
      <w:pPr>
        <w:suppressAutoHyphens/>
        <w:spacing w:after="200" w:line="276" w:lineRule="auto"/>
        <w:ind w:left="1134" w:hanging="567"/>
        <w:contextualSpacing/>
        <w:jc w:val="both"/>
        <w:rPr>
          <w:rFonts w:ascii="Azo Sans Lt" w:hAnsi="Azo Sans Lt"/>
          <w:color w:val="000000" w:themeColor="text1"/>
          <w:sz w:val="22"/>
          <w:szCs w:val="22"/>
        </w:rPr>
      </w:pPr>
    </w:p>
    <w:p w14:paraId="3C0DFA78" w14:textId="5743ADF7" w:rsidR="003C5E5F" w:rsidRPr="006315E9" w:rsidRDefault="003C5E5F" w:rsidP="003C4948">
      <w:pPr>
        <w:numPr>
          <w:ilvl w:val="0"/>
          <w:numId w:val="30"/>
        </w:numPr>
        <w:suppressAutoHyphens/>
        <w:spacing w:after="120" w:line="276" w:lineRule="auto"/>
        <w:jc w:val="both"/>
        <w:rPr>
          <w:rFonts w:ascii="Azo Sans Lt" w:hAnsi="Azo Sans Lt"/>
          <w:color w:val="000000" w:themeColor="text1"/>
          <w:sz w:val="22"/>
          <w:szCs w:val="22"/>
        </w:rPr>
      </w:pPr>
      <w:r w:rsidRPr="006315E9">
        <w:rPr>
          <w:rFonts w:ascii="Azo Sans Lt" w:hAnsi="Azo Sans Lt"/>
          <w:color w:val="000000" w:themeColor="text1"/>
          <w:sz w:val="22"/>
          <w:szCs w:val="22"/>
        </w:rPr>
        <w:t>Creación de la Cartera de Proyectos de Inversión</w:t>
      </w:r>
      <w:r w:rsidR="009A7316" w:rsidRPr="006315E9">
        <w:rPr>
          <w:rFonts w:ascii="Azo Sans Lt" w:hAnsi="Azo Sans Lt"/>
          <w:color w:val="000000" w:themeColor="text1"/>
          <w:sz w:val="22"/>
          <w:szCs w:val="22"/>
        </w:rPr>
        <w:t xml:space="preserve">, </w:t>
      </w:r>
      <w:r w:rsidR="009A7316" w:rsidRPr="006315E9">
        <w:rPr>
          <w:rFonts w:ascii="Azo Sans Lt" w:hAnsi="Azo Sans Lt"/>
          <w:bCs/>
          <w:color w:val="000000" w:themeColor="text1"/>
          <w:spacing w:val="-2"/>
          <w:sz w:val="22"/>
          <w:szCs w:val="22"/>
        </w:rPr>
        <w:t>es competencia de la Unidad de Programas y Proyectos de Inversió</w:t>
      </w:r>
      <w:r w:rsidR="00181056" w:rsidRPr="006315E9">
        <w:rPr>
          <w:rFonts w:ascii="Azo Sans Lt" w:hAnsi="Azo Sans Lt"/>
          <w:bCs/>
          <w:color w:val="000000" w:themeColor="text1"/>
          <w:spacing w:val="-2"/>
          <w:sz w:val="22"/>
          <w:szCs w:val="22"/>
        </w:rPr>
        <w:t>n Pública (en lo sucesivo UNIPP</w:t>
      </w:r>
      <w:r w:rsidR="009A7316" w:rsidRPr="006315E9">
        <w:rPr>
          <w:rFonts w:ascii="Azo Sans Lt" w:hAnsi="Azo Sans Lt"/>
          <w:bCs/>
          <w:color w:val="000000" w:themeColor="text1"/>
          <w:spacing w:val="-2"/>
          <w:sz w:val="22"/>
          <w:szCs w:val="22"/>
        </w:rPr>
        <w:t>IP), para la formulación e integración de los Programas y Proyectos de Inversión (PPI) que se presentará en el Anteproyec</w:t>
      </w:r>
      <w:r w:rsidR="00181056" w:rsidRPr="006315E9">
        <w:rPr>
          <w:rFonts w:ascii="Azo Sans Lt" w:hAnsi="Azo Sans Lt"/>
          <w:bCs/>
          <w:color w:val="000000" w:themeColor="text1"/>
          <w:spacing w:val="-2"/>
          <w:sz w:val="22"/>
          <w:szCs w:val="22"/>
        </w:rPr>
        <w:t>to d</w:t>
      </w:r>
      <w:bookmarkStart w:id="0" w:name="_GoBack"/>
      <w:bookmarkEnd w:id="0"/>
      <w:r w:rsidR="00181056" w:rsidRPr="006315E9">
        <w:rPr>
          <w:rFonts w:ascii="Azo Sans Lt" w:hAnsi="Azo Sans Lt"/>
          <w:bCs/>
          <w:color w:val="000000" w:themeColor="text1"/>
          <w:spacing w:val="-2"/>
          <w:sz w:val="22"/>
          <w:szCs w:val="22"/>
        </w:rPr>
        <w:t xml:space="preserve">e PEE para el ejercicio </w:t>
      </w:r>
      <w:r w:rsidR="002C0532" w:rsidRPr="006315E9">
        <w:rPr>
          <w:rFonts w:ascii="Azo Sans Lt" w:hAnsi="Azo Sans Lt"/>
          <w:bCs/>
          <w:color w:val="000000" w:themeColor="text1"/>
          <w:spacing w:val="-2"/>
          <w:sz w:val="22"/>
          <w:szCs w:val="22"/>
        </w:rPr>
        <w:t>2020</w:t>
      </w:r>
      <w:r w:rsidR="009A7316" w:rsidRPr="006315E9">
        <w:rPr>
          <w:rFonts w:ascii="Azo Sans Lt" w:hAnsi="Azo Sans Lt"/>
          <w:bCs/>
          <w:color w:val="000000" w:themeColor="text1"/>
          <w:spacing w:val="-2"/>
          <w:sz w:val="22"/>
          <w:szCs w:val="22"/>
        </w:rPr>
        <w:t xml:space="preserve">, las Dependencias y Entidades deberán cumplir con lo establecido en los “Lineamientos del Programa de Inversión </w:t>
      </w:r>
      <w:r w:rsidR="00181056" w:rsidRPr="006315E9">
        <w:rPr>
          <w:rFonts w:ascii="Azo Sans Lt" w:hAnsi="Azo Sans Lt"/>
          <w:bCs/>
          <w:color w:val="000000" w:themeColor="text1"/>
          <w:spacing w:val="-2"/>
          <w:sz w:val="22"/>
          <w:szCs w:val="22"/>
        </w:rPr>
        <w:t>Pública” generados por la UNIPP</w:t>
      </w:r>
      <w:r w:rsidR="009A7316" w:rsidRPr="006315E9">
        <w:rPr>
          <w:rFonts w:ascii="Azo Sans Lt" w:hAnsi="Azo Sans Lt"/>
          <w:bCs/>
          <w:color w:val="000000" w:themeColor="text1"/>
          <w:spacing w:val="-2"/>
          <w:sz w:val="22"/>
          <w:szCs w:val="22"/>
        </w:rPr>
        <w:t>I</w:t>
      </w:r>
      <w:r w:rsidR="00181056" w:rsidRPr="006315E9">
        <w:rPr>
          <w:rFonts w:ascii="Azo Sans Lt" w:hAnsi="Azo Sans Lt"/>
          <w:bCs/>
          <w:color w:val="000000" w:themeColor="text1"/>
          <w:spacing w:val="-2"/>
          <w:sz w:val="22"/>
          <w:szCs w:val="22"/>
        </w:rPr>
        <w:t>P</w:t>
      </w:r>
      <w:r w:rsidR="009A7316" w:rsidRPr="006315E9">
        <w:rPr>
          <w:rFonts w:ascii="Azo Sans Lt" w:hAnsi="Azo Sans Lt"/>
          <w:bCs/>
          <w:color w:val="000000" w:themeColor="text1"/>
          <w:spacing w:val="-2"/>
          <w:sz w:val="22"/>
          <w:szCs w:val="22"/>
        </w:rPr>
        <w:t>.</w:t>
      </w:r>
    </w:p>
    <w:p w14:paraId="7F4E9F69" w14:textId="77777777" w:rsidR="003C5E5F" w:rsidRPr="006315E9" w:rsidRDefault="003C5E5F" w:rsidP="003C4948">
      <w:pPr>
        <w:pStyle w:val="Prrafodelista"/>
        <w:numPr>
          <w:ilvl w:val="0"/>
          <w:numId w:val="30"/>
        </w:numPr>
        <w:suppressAutoHyphens/>
        <w:spacing w:after="120" w:line="276" w:lineRule="auto"/>
        <w:contextualSpacing w:val="0"/>
        <w:jc w:val="both"/>
        <w:rPr>
          <w:rFonts w:ascii="Azo Sans Lt" w:hAnsi="Azo Sans Lt"/>
          <w:color w:val="000000" w:themeColor="text1"/>
          <w:sz w:val="22"/>
          <w:szCs w:val="22"/>
        </w:rPr>
      </w:pPr>
      <w:r w:rsidRPr="006315E9">
        <w:rPr>
          <w:rFonts w:ascii="Azo Sans Lt" w:hAnsi="Azo Sans Lt"/>
          <w:color w:val="000000" w:themeColor="text1"/>
          <w:sz w:val="22"/>
          <w:szCs w:val="22"/>
        </w:rPr>
        <w:t>Integración de los procesos de planeación y su armonización con los objetivos estratégicos del desarrollo estatal y regional, así como la consolidación del sistema integral de control programático-presupuestal para implementar el P</w:t>
      </w:r>
      <w:r w:rsidR="00EA311D" w:rsidRPr="006315E9">
        <w:rPr>
          <w:rFonts w:ascii="Azo Sans Lt" w:hAnsi="Azo Sans Lt"/>
          <w:color w:val="000000" w:themeColor="text1"/>
          <w:sz w:val="22"/>
          <w:szCs w:val="22"/>
        </w:rPr>
        <w:t>b</w:t>
      </w:r>
      <w:r w:rsidRPr="006315E9">
        <w:rPr>
          <w:rFonts w:ascii="Azo Sans Lt" w:hAnsi="Azo Sans Lt"/>
          <w:color w:val="000000" w:themeColor="text1"/>
          <w:sz w:val="22"/>
          <w:szCs w:val="22"/>
        </w:rPr>
        <w:t>R.</w:t>
      </w:r>
    </w:p>
    <w:p w14:paraId="06468CD6" w14:textId="77777777" w:rsidR="003C5E5F" w:rsidRPr="006315E9" w:rsidRDefault="003C5E5F" w:rsidP="003C4948">
      <w:pPr>
        <w:pStyle w:val="Prrafodelista"/>
        <w:numPr>
          <w:ilvl w:val="0"/>
          <w:numId w:val="30"/>
        </w:numPr>
        <w:suppressAutoHyphens/>
        <w:spacing w:line="276" w:lineRule="auto"/>
        <w:contextualSpacing w:val="0"/>
        <w:jc w:val="both"/>
        <w:rPr>
          <w:rFonts w:ascii="Azo Sans Lt" w:hAnsi="Azo Sans Lt"/>
          <w:color w:val="000000" w:themeColor="text1"/>
          <w:sz w:val="22"/>
          <w:szCs w:val="22"/>
        </w:rPr>
      </w:pPr>
      <w:r w:rsidRPr="006315E9">
        <w:rPr>
          <w:rFonts w:ascii="Azo Sans Lt" w:hAnsi="Azo Sans Lt"/>
          <w:color w:val="000000" w:themeColor="text1"/>
          <w:sz w:val="22"/>
          <w:szCs w:val="22"/>
        </w:rPr>
        <w:t>Instrumentar mecanismos y realizar acciones que permitan verificar que los recursos públicos son aplicados con apego a la normatividad y evaluar sus resultados, alcances e impacto a través de la realización de verificaciones, auditorías y evaluaciones financieras, contables, de obra pública, de programas y de desempeño en la función pública.</w:t>
      </w:r>
    </w:p>
    <w:p w14:paraId="5B95B3CC" w14:textId="77777777" w:rsidR="00EA311D" w:rsidRPr="006315E9" w:rsidRDefault="00EA311D" w:rsidP="003C4948">
      <w:pPr>
        <w:pStyle w:val="Prrafodelista"/>
        <w:suppressAutoHyphens/>
        <w:spacing w:line="276" w:lineRule="auto"/>
        <w:ind w:left="1134" w:hanging="567"/>
        <w:contextualSpacing w:val="0"/>
        <w:jc w:val="both"/>
        <w:rPr>
          <w:rFonts w:ascii="Azo Sans Lt" w:hAnsi="Azo Sans Lt"/>
          <w:color w:val="000000" w:themeColor="text1"/>
          <w:sz w:val="22"/>
          <w:szCs w:val="22"/>
        </w:rPr>
      </w:pPr>
    </w:p>
    <w:p w14:paraId="191F92F2" w14:textId="685DC8C0" w:rsidR="003C5E5F" w:rsidRPr="006315E9" w:rsidRDefault="007A24F1" w:rsidP="003C4948">
      <w:pPr>
        <w:suppressAutoHyphens/>
        <w:spacing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 xml:space="preserve">La </w:t>
      </w:r>
      <w:r w:rsidR="003C5E5F" w:rsidRPr="006315E9">
        <w:rPr>
          <w:rFonts w:ascii="Azo Sans Lt" w:hAnsi="Azo Sans Lt"/>
          <w:color w:val="000000" w:themeColor="text1"/>
          <w:sz w:val="22"/>
          <w:szCs w:val="22"/>
        </w:rPr>
        <w:t>GpR en Campeche implica un cambio en la cultura organizacional, directiva y de gestión que hace énfasis en los resultados y no en los procedimientos, donde lo primordial es el qué se hace (bienes y servicios finales) y qué se logra (beneficios e impactos a la población), y en donde es importante considerar los componentes, interacciones, factores y agentes que forman parte del proceso de creación del valor público.</w:t>
      </w:r>
    </w:p>
    <w:p w14:paraId="6B550EBA" w14:textId="77777777" w:rsidR="003C5E5F" w:rsidRPr="006315E9" w:rsidRDefault="003C5E5F" w:rsidP="003C4948">
      <w:pPr>
        <w:suppressAutoHyphens/>
        <w:spacing w:line="276" w:lineRule="auto"/>
        <w:contextualSpacing/>
        <w:jc w:val="both"/>
        <w:rPr>
          <w:rFonts w:ascii="Azo Sans Lt" w:hAnsi="Azo Sans Lt"/>
          <w:color w:val="000000" w:themeColor="text1"/>
          <w:sz w:val="22"/>
          <w:szCs w:val="22"/>
        </w:rPr>
      </w:pPr>
    </w:p>
    <w:p w14:paraId="3922D3FB" w14:textId="77777777" w:rsidR="003C5E5F" w:rsidRPr="006315E9" w:rsidRDefault="003C5E5F" w:rsidP="003C494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8931"/>
        </w:tabs>
        <w:suppressAutoHyphens/>
        <w:spacing w:line="276" w:lineRule="auto"/>
        <w:ind w:left="720" w:right="615"/>
        <w:jc w:val="both"/>
        <w:rPr>
          <w:rFonts w:ascii="Azo Sans Lt" w:hAnsi="Azo Sans Lt" w:cs="Tahoma"/>
          <w:color w:val="000000" w:themeColor="text1"/>
          <w:sz w:val="18"/>
        </w:rPr>
      </w:pPr>
      <w:r w:rsidRPr="006315E9">
        <w:rPr>
          <w:rFonts w:ascii="Azo Sans Lt" w:hAnsi="Azo Sans Lt" w:cs="Tahoma"/>
          <w:color w:val="000000" w:themeColor="text1"/>
          <w:sz w:val="18"/>
        </w:rPr>
        <w:t>El valor público se crea cuando se generan las condiciones necesarias para que todos los miembros de la sociedad disfruten de oportunidades para su vida digna, de empleo y bienestar, y se garantice el acceso a dichas oportunidades; es decir, cuando se aportan respuestas efectivas y útiles a las necesidades presentes y futuras de la población.</w:t>
      </w:r>
    </w:p>
    <w:p w14:paraId="082B18EE" w14:textId="77777777" w:rsidR="003C5E5F" w:rsidRPr="006315E9" w:rsidRDefault="003C5E5F" w:rsidP="003C4948">
      <w:pPr>
        <w:suppressAutoHyphens/>
        <w:spacing w:line="276" w:lineRule="auto"/>
        <w:contextualSpacing/>
        <w:jc w:val="both"/>
        <w:rPr>
          <w:rFonts w:ascii="Azo Sans Lt" w:hAnsi="Azo Sans Lt"/>
          <w:color w:val="000000" w:themeColor="text1"/>
          <w:sz w:val="22"/>
          <w:szCs w:val="22"/>
        </w:rPr>
      </w:pPr>
    </w:p>
    <w:p w14:paraId="4E9F6D05" w14:textId="77777777" w:rsidR="003C5E5F" w:rsidRPr="006315E9" w:rsidRDefault="003C5E5F" w:rsidP="003C4948">
      <w:pPr>
        <w:suppressAutoHyphens/>
        <w:spacing w:line="276" w:lineRule="auto"/>
        <w:ind w:left="709"/>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lastRenderedPageBreak/>
        <w:t>Lo que implica que la orientación de la gestión sea visualizada como un proceso que conforme una cadena de valor que va de los insumos, los procesos, los productos</w:t>
      </w:r>
      <w:r w:rsidR="00287F52" w:rsidRPr="006315E9">
        <w:rPr>
          <w:rFonts w:ascii="Azo Sans Lt" w:hAnsi="Azo Sans Lt"/>
          <w:color w:val="000000" w:themeColor="text1"/>
          <w:sz w:val="22"/>
          <w:szCs w:val="22"/>
        </w:rPr>
        <w:t xml:space="preserve"> a</w:t>
      </w:r>
      <w:r w:rsidRPr="006315E9">
        <w:rPr>
          <w:rFonts w:ascii="Azo Sans Lt" w:hAnsi="Azo Sans Lt"/>
          <w:color w:val="000000" w:themeColor="text1"/>
          <w:sz w:val="22"/>
          <w:szCs w:val="22"/>
        </w:rPr>
        <w:t xml:space="preserve"> los beneficios y los impactos.</w:t>
      </w:r>
    </w:p>
    <w:p w14:paraId="55263401" w14:textId="77777777" w:rsidR="00BC56BF" w:rsidRPr="006315E9" w:rsidRDefault="00BC56BF" w:rsidP="003C4948">
      <w:pPr>
        <w:suppressAutoHyphens/>
        <w:spacing w:line="276" w:lineRule="auto"/>
        <w:contextualSpacing/>
        <w:jc w:val="both"/>
        <w:rPr>
          <w:rFonts w:ascii="Azo Sans Lt" w:hAnsi="Azo Sans Lt"/>
          <w:color w:val="000000" w:themeColor="text1"/>
          <w:sz w:val="22"/>
          <w:szCs w:val="22"/>
        </w:rPr>
      </w:pPr>
    </w:p>
    <w:p w14:paraId="35A5E660" w14:textId="77777777" w:rsidR="003C5E5F" w:rsidRPr="006315E9" w:rsidRDefault="003C5E5F" w:rsidP="003C4948">
      <w:pPr>
        <w:spacing w:line="276" w:lineRule="auto"/>
        <w:jc w:val="center"/>
        <w:rPr>
          <w:rFonts w:ascii="Azo Sans Lt" w:hAnsi="Azo Sans Lt" w:cs="Tahoma"/>
          <w:color w:val="000000" w:themeColor="text1"/>
          <w:sz w:val="16"/>
          <w:szCs w:val="18"/>
        </w:rPr>
      </w:pPr>
      <w:r w:rsidRPr="006315E9">
        <w:rPr>
          <w:rFonts w:ascii="Azo Sans Lt" w:hAnsi="Azo Sans Lt" w:cs="Tahoma"/>
          <w:noProof/>
          <w:color w:val="000000" w:themeColor="text1"/>
          <w:sz w:val="18"/>
          <w:szCs w:val="18"/>
          <w:lang w:val="es-ES"/>
        </w:rPr>
        <w:drawing>
          <wp:inline distT="0" distB="0" distL="0" distR="0" wp14:anchorId="540AB533" wp14:editId="05A05FB3">
            <wp:extent cx="5527943" cy="2754086"/>
            <wp:effectExtent l="0" t="0" r="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3626" cy="2776846"/>
                    </a:xfrm>
                    <a:prstGeom prst="rect">
                      <a:avLst/>
                    </a:prstGeom>
                    <a:noFill/>
                    <a:ln>
                      <a:noFill/>
                    </a:ln>
                  </pic:spPr>
                </pic:pic>
              </a:graphicData>
            </a:graphic>
          </wp:inline>
        </w:drawing>
      </w:r>
    </w:p>
    <w:p w14:paraId="3883CCD0" w14:textId="77777777" w:rsidR="00BC56BF" w:rsidRPr="006315E9" w:rsidRDefault="00BC56BF" w:rsidP="003C4948">
      <w:pPr>
        <w:spacing w:line="276" w:lineRule="auto"/>
        <w:jc w:val="center"/>
        <w:rPr>
          <w:rFonts w:ascii="Azo Sans Lt" w:hAnsi="Azo Sans Lt"/>
          <w:color w:val="000000" w:themeColor="text1"/>
          <w:sz w:val="18"/>
          <w:szCs w:val="18"/>
        </w:rPr>
      </w:pPr>
    </w:p>
    <w:p w14:paraId="33551C88" w14:textId="0675B6BB" w:rsidR="00B55ED1" w:rsidRPr="006315E9" w:rsidRDefault="003C5E5F" w:rsidP="003C4948">
      <w:pPr>
        <w:spacing w:line="276" w:lineRule="auto"/>
        <w:jc w:val="center"/>
        <w:rPr>
          <w:rFonts w:ascii="Azo Sans Lt" w:hAnsi="Azo Sans Lt"/>
          <w:color w:val="000000" w:themeColor="text1"/>
          <w:sz w:val="18"/>
          <w:szCs w:val="18"/>
        </w:rPr>
      </w:pPr>
      <w:r w:rsidRPr="006315E9">
        <w:rPr>
          <w:rFonts w:ascii="Azo Sans Lt" w:hAnsi="Azo Sans Lt"/>
          <w:color w:val="000000" w:themeColor="text1"/>
          <w:sz w:val="18"/>
          <w:szCs w:val="18"/>
        </w:rPr>
        <w:t>Fuente: Material GpR-</w:t>
      </w:r>
      <w:r w:rsidR="001727BD" w:rsidRPr="006315E9">
        <w:rPr>
          <w:rFonts w:ascii="Azo Sans Lt" w:hAnsi="Azo Sans Lt"/>
          <w:color w:val="000000" w:themeColor="text1"/>
          <w:sz w:val="18"/>
          <w:szCs w:val="18"/>
        </w:rPr>
        <w:t>PbR</w:t>
      </w:r>
      <w:r w:rsidRPr="006315E9">
        <w:rPr>
          <w:rFonts w:ascii="Azo Sans Lt" w:hAnsi="Azo Sans Lt"/>
          <w:color w:val="000000" w:themeColor="text1"/>
          <w:sz w:val="18"/>
          <w:szCs w:val="18"/>
        </w:rPr>
        <w:t>, INDETEC, 2012.</w:t>
      </w:r>
    </w:p>
    <w:p w14:paraId="6CEFD409" w14:textId="77777777" w:rsidR="003C4948" w:rsidRPr="006315E9" w:rsidRDefault="003C4948" w:rsidP="003C4948">
      <w:pPr>
        <w:spacing w:line="276" w:lineRule="auto"/>
        <w:jc w:val="center"/>
        <w:rPr>
          <w:rFonts w:ascii="Azo Sans Lt" w:hAnsi="Azo Sans Lt"/>
          <w:color w:val="000000" w:themeColor="text1"/>
          <w:sz w:val="22"/>
          <w:szCs w:val="22"/>
        </w:rPr>
      </w:pPr>
    </w:p>
    <w:p w14:paraId="5E73FD6E" w14:textId="61EF7F78" w:rsidR="00B55ED1" w:rsidRPr="006315E9" w:rsidRDefault="003C5E5F" w:rsidP="003C4948">
      <w:pPr>
        <w:suppressAutoHyphens/>
        <w:spacing w:after="200" w:line="276" w:lineRule="auto"/>
        <w:ind w:left="567"/>
        <w:contextualSpacing/>
        <w:jc w:val="both"/>
        <w:rPr>
          <w:rFonts w:ascii="Azo Sans Lt" w:hAnsi="Azo Sans Lt"/>
          <w:color w:val="000000" w:themeColor="text1"/>
          <w:sz w:val="22"/>
          <w:szCs w:val="22"/>
        </w:rPr>
      </w:pPr>
      <w:r w:rsidRPr="006315E9">
        <w:rPr>
          <w:rFonts w:ascii="Azo Sans Lt" w:hAnsi="Azo Sans Lt"/>
          <w:color w:val="000000" w:themeColor="text1"/>
          <w:sz w:val="22"/>
          <w:szCs w:val="22"/>
        </w:rPr>
        <w:t>Para concretar este cambio es fundamental considerar un modelo de gestión que contemple y articule los siguientes elementos:</w:t>
      </w:r>
    </w:p>
    <w:p w14:paraId="3BFA1821" w14:textId="77777777" w:rsidR="003C4948" w:rsidRPr="006315E9" w:rsidRDefault="003C4948" w:rsidP="003C4948">
      <w:pPr>
        <w:suppressAutoHyphens/>
        <w:spacing w:after="200" w:line="276" w:lineRule="auto"/>
        <w:ind w:left="567"/>
        <w:contextualSpacing/>
        <w:jc w:val="both"/>
        <w:rPr>
          <w:rFonts w:ascii="Azo Sans Lt" w:hAnsi="Azo Sans Lt"/>
          <w:color w:val="000000" w:themeColor="text1"/>
          <w:sz w:val="22"/>
          <w:szCs w:val="22"/>
        </w:rPr>
      </w:pPr>
    </w:p>
    <w:p w14:paraId="22CE55E1" w14:textId="77777777" w:rsidR="00B66127" w:rsidRPr="006315E9" w:rsidRDefault="00B55ED1" w:rsidP="003C4948">
      <w:pPr>
        <w:suppressAutoHyphens/>
        <w:spacing w:after="200" w:line="276" w:lineRule="auto"/>
        <w:contextualSpacing/>
        <w:jc w:val="both"/>
        <w:rPr>
          <w:rFonts w:ascii="Azo Sans Lt" w:hAnsi="Azo Sans Lt"/>
          <w:color w:val="000000" w:themeColor="text1"/>
          <w:sz w:val="22"/>
          <w:szCs w:val="22"/>
        </w:rPr>
      </w:pPr>
      <w:r w:rsidRPr="006315E9">
        <w:rPr>
          <w:rFonts w:ascii="Azo Sans Lt" w:hAnsi="Azo Sans Lt"/>
          <w:noProof/>
          <w:color w:val="000000" w:themeColor="text1"/>
          <w:sz w:val="18"/>
          <w:szCs w:val="18"/>
          <w:lang w:val="es-ES"/>
        </w:rPr>
        <mc:AlternateContent>
          <mc:Choice Requires="wpg">
            <w:drawing>
              <wp:anchor distT="0" distB="0" distL="114300" distR="114300" simplePos="0" relativeHeight="251657728" behindDoc="0" locked="0" layoutInCell="1" allowOverlap="1" wp14:anchorId="6CC539BF" wp14:editId="3DD87FF6">
                <wp:simplePos x="0" y="0"/>
                <wp:positionH relativeFrom="column">
                  <wp:posOffset>220618</wp:posOffset>
                </wp:positionH>
                <wp:positionV relativeFrom="paragraph">
                  <wp:posOffset>179795</wp:posOffset>
                </wp:positionV>
                <wp:extent cx="5769066" cy="2612572"/>
                <wp:effectExtent l="19050" t="0" r="22225" b="35560"/>
                <wp:wrapNone/>
                <wp:docPr id="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066" cy="2612572"/>
                          <a:chOff x="1140" y="2526"/>
                          <a:chExt cx="9465" cy="5760"/>
                        </a:xfrm>
                      </wpg:grpSpPr>
                      <wps:wsp>
                        <wps:cNvPr id="7" name="AutoShape 9"/>
                        <wps:cNvSpPr>
                          <a:spLocks noChangeArrowheads="1"/>
                        </wps:cNvSpPr>
                        <wps:spPr bwMode="auto">
                          <a:xfrm>
                            <a:off x="1350" y="2526"/>
                            <a:ext cx="1470" cy="945"/>
                          </a:xfrm>
                          <a:prstGeom prst="roundRect">
                            <a:avLst>
                              <a:gd name="adj" fmla="val 16667"/>
                            </a:avLst>
                          </a:prstGeom>
                          <a:gradFill rotWithShape="0">
                            <a:gsLst>
                              <a:gs pos="0">
                                <a:schemeClr val="accent1">
                                  <a:lumMod val="100000"/>
                                  <a:lumOff val="0"/>
                                </a:schemeClr>
                              </a:gs>
                              <a:gs pos="100000">
                                <a:schemeClr val="accent1">
                                  <a:lumMod val="74000"/>
                                  <a:lumOff val="0"/>
                                </a:schemeClr>
                              </a:gs>
                            </a:gsLst>
                            <a:path path="shape">
                              <a:fillToRect l="50000" t="50000" r="50000" b="50000"/>
                            </a:path>
                          </a:gradFill>
                          <a:ln>
                            <a:noFill/>
                          </a:ln>
                          <a:effectLst>
                            <a:outerShdw dist="28398" dir="3806097" algn="ctr" rotWithShape="0">
                              <a:schemeClr val="accent1">
                                <a:lumMod val="50000"/>
                                <a:lumOff val="0"/>
                              </a:schemeClr>
                            </a:outerShdw>
                          </a:effectLst>
                          <a:extLst>
                            <a:ext uri="{91240B29-F687-4F45-9708-019B960494DF}">
                              <a14:hiddenLine xmlns:a14="http://schemas.microsoft.com/office/drawing/2010/main" w="0">
                                <a:solidFill>
                                  <a:srgbClr val="000000"/>
                                </a:solidFill>
                                <a:round/>
                                <a:headEnd/>
                                <a:tailEnd/>
                              </a14:hiddenLine>
                            </a:ext>
                          </a:extLst>
                        </wps:spPr>
                        <wps:txbx>
                          <w:txbxContent>
                            <w:p w14:paraId="35231489" w14:textId="77777777" w:rsidR="00294015" w:rsidRDefault="00294015" w:rsidP="00D44BAD">
                              <w:pPr>
                                <w:jc w:val="center"/>
                                <w:rPr>
                                  <w:rFonts w:asciiTheme="minorHAnsi" w:hAnsiTheme="minorHAnsi"/>
                                  <w:b/>
                                  <w:color w:val="FFFFFF" w:themeColor="background1"/>
                                  <w:lang w:val="es-MX"/>
                                </w:rPr>
                              </w:pPr>
                              <w:r w:rsidRPr="00D44BAD">
                                <w:rPr>
                                  <w:rFonts w:asciiTheme="minorHAnsi" w:hAnsiTheme="minorHAnsi"/>
                                  <w:b/>
                                  <w:color w:val="FFFFFF" w:themeColor="background1"/>
                                  <w:lang w:val="es-MX"/>
                                </w:rPr>
                                <w:t xml:space="preserve">Planeación del </w:t>
                              </w:r>
                            </w:p>
                            <w:p w14:paraId="1DD789E3" w14:textId="77777777" w:rsidR="00294015" w:rsidRPr="00D44BAD" w:rsidRDefault="00294015" w:rsidP="00D44BAD">
                              <w:pPr>
                                <w:jc w:val="center"/>
                                <w:rPr>
                                  <w:rFonts w:asciiTheme="minorHAnsi" w:hAnsiTheme="minorHAnsi"/>
                                  <w:b/>
                                  <w:color w:val="FFFFFF" w:themeColor="background1"/>
                                  <w:lang w:val="es-MX"/>
                                </w:rPr>
                              </w:pPr>
                              <w:r w:rsidRPr="00D44BAD">
                                <w:rPr>
                                  <w:rFonts w:asciiTheme="minorHAnsi" w:hAnsiTheme="minorHAnsi"/>
                                  <w:b/>
                                  <w:color w:val="FFFFFF" w:themeColor="background1"/>
                                  <w:lang w:val="es-MX"/>
                                </w:rPr>
                                <w:t>Desarrollo</w:t>
                              </w:r>
                            </w:p>
                          </w:txbxContent>
                        </wps:txbx>
                        <wps:bodyPr rot="0" vert="horz" wrap="square" lIns="91440" tIns="45720" rIns="91440" bIns="45720" anchor="t" anchorCtr="0" upright="1">
                          <a:noAutofit/>
                        </wps:bodyPr>
                      </wps:wsp>
                      <wpg:grpSp>
                        <wpg:cNvPr id="8" name="Group 25"/>
                        <wpg:cNvGrpSpPr>
                          <a:grpSpLocks/>
                        </wpg:cNvGrpSpPr>
                        <wpg:grpSpPr bwMode="auto">
                          <a:xfrm>
                            <a:off x="1140" y="2526"/>
                            <a:ext cx="9465" cy="5760"/>
                            <a:chOff x="1140" y="2526"/>
                            <a:chExt cx="9465" cy="5760"/>
                          </a:xfrm>
                        </wpg:grpSpPr>
                        <wps:wsp>
                          <wps:cNvPr id="9" name="AutoShape 15"/>
                          <wps:cNvSpPr>
                            <a:spLocks noChangeArrowheads="1"/>
                          </wps:cNvSpPr>
                          <wps:spPr bwMode="auto">
                            <a:xfrm>
                              <a:off x="3060" y="2526"/>
                              <a:ext cx="1470" cy="945"/>
                            </a:xfrm>
                            <a:prstGeom prst="roundRect">
                              <a:avLst>
                                <a:gd name="adj" fmla="val 16667"/>
                              </a:avLst>
                            </a:prstGeom>
                            <a:gradFill rotWithShape="0">
                              <a:gsLst>
                                <a:gs pos="0">
                                  <a:schemeClr val="accent1">
                                    <a:lumMod val="100000"/>
                                    <a:lumOff val="0"/>
                                  </a:schemeClr>
                                </a:gs>
                                <a:gs pos="100000">
                                  <a:schemeClr val="accent1">
                                    <a:lumMod val="74000"/>
                                    <a:lumOff val="0"/>
                                  </a:schemeClr>
                                </a:gs>
                              </a:gsLst>
                              <a:path path="shape">
                                <a:fillToRect l="50000" t="50000" r="50000" b="50000"/>
                              </a:path>
                            </a:gradFill>
                            <a:ln>
                              <a:noFill/>
                            </a:ln>
                            <a:effectLst>
                              <a:outerShdw dist="28398" dir="3806097" algn="ctr" rotWithShape="0">
                                <a:schemeClr val="accent1">
                                  <a:lumMod val="50000"/>
                                  <a:lumOff val="0"/>
                                </a:schemeClr>
                              </a:outerShdw>
                            </a:effectLst>
                            <a:extLst>
                              <a:ext uri="{91240B29-F687-4F45-9708-019B960494DF}">
                                <a14:hiddenLine xmlns:a14="http://schemas.microsoft.com/office/drawing/2010/main" w="0">
                                  <a:solidFill>
                                    <a:srgbClr val="000000"/>
                                  </a:solidFill>
                                  <a:round/>
                                  <a:headEnd/>
                                  <a:tailEnd/>
                                </a14:hiddenLine>
                              </a:ext>
                            </a:extLst>
                          </wps:spPr>
                          <wps:txbx>
                            <w:txbxContent>
                              <w:p w14:paraId="3308B4D0"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Programas Públicos</w:t>
                                </w:r>
                              </w:p>
                            </w:txbxContent>
                          </wps:txbx>
                          <wps:bodyPr rot="0" vert="horz" wrap="square" lIns="91440" tIns="45720" rIns="91440" bIns="45720" anchor="t" anchorCtr="0" upright="1">
                            <a:noAutofit/>
                          </wps:bodyPr>
                        </wps:wsp>
                        <wps:wsp>
                          <wps:cNvPr id="11" name="AutoShape 16"/>
                          <wps:cNvSpPr>
                            <a:spLocks noChangeArrowheads="1"/>
                          </wps:cNvSpPr>
                          <wps:spPr bwMode="auto">
                            <a:xfrm>
                              <a:off x="4770" y="2571"/>
                              <a:ext cx="1860" cy="945"/>
                            </a:xfrm>
                            <a:prstGeom prst="roundRect">
                              <a:avLst>
                                <a:gd name="adj" fmla="val 16667"/>
                              </a:avLst>
                            </a:prstGeom>
                            <a:gradFill rotWithShape="0">
                              <a:gsLst>
                                <a:gs pos="0">
                                  <a:schemeClr val="accent1">
                                    <a:lumMod val="100000"/>
                                    <a:lumOff val="0"/>
                                  </a:schemeClr>
                                </a:gs>
                                <a:gs pos="100000">
                                  <a:schemeClr val="accent1">
                                    <a:lumMod val="74000"/>
                                    <a:lumOff val="0"/>
                                  </a:schemeClr>
                                </a:gs>
                              </a:gsLst>
                              <a:path path="shape">
                                <a:fillToRect l="50000" t="50000" r="50000" b="50000"/>
                              </a:path>
                            </a:gradFill>
                            <a:ln>
                              <a:noFill/>
                            </a:ln>
                            <a:effectLst>
                              <a:outerShdw dist="28398" dir="3806097" algn="ctr" rotWithShape="0">
                                <a:schemeClr val="accent1">
                                  <a:lumMod val="50000"/>
                                  <a:lumOff val="0"/>
                                </a:schemeClr>
                              </a:outerShdw>
                            </a:effectLst>
                            <a:extLst>
                              <a:ext uri="{91240B29-F687-4F45-9708-019B960494DF}">
                                <a14:hiddenLine xmlns:a14="http://schemas.microsoft.com/office/drawing/2010/main" w="0">
                                  <a:solidFill>
                                    <a:srgbClr val="000000"/>
                                  </a:solidFill>
                                  <a:round/>
                                  <a:headEnd/>
                                  <a:tailEnd/>
                                </a14:hiddenLine>
                              </a:ext>
                            </a:extLst>
                          </wps:spPr>
                          <wps:txbx>
                            <w:txbxContent>
                              <w:p w14:paraId="4E0FE066" w14:textId="77777777" w:rsidR="00294015"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 xml:space="preserve">Presupuesto con base en </w:t>
                                </w:r>
                              </w:p>
                              <w:p w14:paraId="52208D15"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Resultados</w:t>
                                </w:r>
                              </w:p>
                            </w:txbxContent>
                          </wps:txbx>
                          <wps:bodyPr rot="0" vert="horz" wrap="square" lIns="91440" tIns="45720" rIns="91440" bIns="45720" anchor="t" anchorCtr="0" upright="1">
                            <a:noAutofit/>
                          </wps:bodyPr>
                        </wps:wsp>
                        <wps:wsp>
                          <wps:cNvPr id="12" name="AutoShape 17"/>
                          <wps:cNvSpPr>
                            <a:spLocks noChangeArrowheads="1"/>
                          </wps:cNvSpPr>
                          <wps:spPr bwMode="auto">
                            <a:xfrm>
                              <a:off x="6975" y="2571"/>
                              <a:ext cx="1635" cy="945"/>
                            </a:xfrm>
                            <a:prstGeom prst="roundRect">
                              <a:avLst>
                                <a:gd name="adj" fmla="val 16667"/>
                              </a:avLst>
                            </a:prstGeom>
                            <a:gradFill rotWithShape="0">
                              <a:gsLst>
                                <a:gs pos="0">
                                  <a:schemeClr val="accent1">
                                    <a:lumMod val="100000"/>
                                    <a:lumOff val="0"/>
                                  </a:schemeClr>
                                </a:gs>
                                <a:gs pos="100000">
                                  <a:schemeClr val="accent1">
                                    <a:lumMod val="74000"/>
                                    <a:lumOff val="0"/>
                                  </a:schemeClr>
                                </a:gs>
                              </a:gsLst>
                              <a:path path="shape">
                                <a:fillToRect l="50000" t="50000" r="50000" b="50000"/>
                              </a:path>
                            </a:gradFill>
                            <a:ln>
                              <a:noFill/>
                            </a:ln>
                            <a:effectLst>
                              <a:outerShdw dist="28398" dir="3806097" algn="ctr" rotWithShape="0">
                                <a:schemeClr val="accent1">
                                  <a:lumMod val="50000"/>
                                  <a:lumOff val="0"/>
                                </a:schemeClr>
                              </a:outerShdw>
                            </a:effectLst>
                            <a:extLst>
                              <a:ext uri="{91240B29-F687-4F45-9708-019B960494DF}">
                                <a14:hiddenLine xmlns:a14="http://schemas.microsoft.com/office/drawing/2010/main" w="0">
                                  <a:solidFill>
                                    <a:srgbClr val="000000"/>
                                  </a:solidFill>
                                  <a:round/>
                                  <a:headEnd/>
                                  <a:tailEnd/>
                                </a14:hiddenLine>
                              </a:ext>
                            </a:extLst>
                          </wps:spPr>
                          <wps:txbx>
                            <w:txbxContent>
                              <w:p w14:paraId="0941A4CF"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Sistema de Evaluación del Desempeño</w:t>
                                </w:r>
                              </w:p>
                            </w:txbxContent>
                          </wps:txbx>
                          <wps:bodyPr rot="0" vert="horz" wrap="square" lIns="91440" tIns="45720" rIns="91440" bIns="45720" anchor="t" anchorCtr="0" upright="1">
                            <a:noAutofit/>
                          </wps:bodyPr>
                        </wps:wsp>
                        <wps:wsp>
                          <wps:cNvPr id="13" name="AutoShape 18"/>
                          <wps:cNvSpPr>
                            <a:spLocks noChangeArrowheads="1"/>
                          </wps:cNvSpPr>
                          <wps:spPr bwMode="auto">
                            <a:xfrm>
                              <a:off x="8925" y="2601"/>
                              <a:ext cx="1560" cy="945"/>
                            </a:xfrm>
                            <a:prstGeom prst="roundRect">
                              <a:avLst>
                                <a:gd name="adj" fmla="val 16667"/>
                              </a:avLst>
                            </a:prstGeom>
                            <a:gradFill rotWithShape="0">
                              <a:gsLst>
                                <a:gs pos="0">
                                  <a:schemeClr val="accent1">
                                    <a:lumMod val="100000"/>
                                    <a:lumOff val="0"/>
                                  </a:schemeClr>
                                </a:gs>
                                <a:gs pos="100000">
                                  <a:schemeClr val="accent1">
                                    <a:lumMod val="74000"/>
                                    <a:lumOff val="0"/>
                                  </a:schemeClr>
                                </a:gs>
                              </a:gsLst>
                              <a:path path="shape">
                                <a:fillToRect l="50000" t="50000" r="50000" b="50000"/>
                              </a:path>
                            </a:gradFill>
                            <a:ln>
                              <a:noFill/>
                            </a:ln>
                            <a:effectLst>
                              <a:outerShdw dist="28398" dir="3806097" algn="ctr" rotWithShape="0">
                                <a:schemeClr val="accent1">
                                  <a:lumMod val="50000"/>
                                  <a:lumOff val="0"/>
                                </a:schemeClr>
                              </a:outerShdw>
                            </a:effectLst>
                            <a:extLst>
                              <a:ext uri="{91240B29-F687-4F45-9708-019B960494DF}">
                                <a14:hiddenLine xmlns:a14="http://schemas.microsoft.com/office/drawing/2010/main" w="0">
                                  <a:solidFill>
                                    <a:srgbClr val="000000"/>
                                  </a:solidFill>
                                  <a:round/>
                                  <a:headEnd/>
                                  <a:tailEnd/>
                                </a14:hiddenLine>
                              </a:ext>
                            </a:extLst>
                          </wps:spPr>
                          <wps:txbx>
                            <w:txbxContent>
                              <w:p w14:paraId="0E1BB8D7"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Programas de Mejora gasto y gestión</w:t>
                                </w:r>
                              </w:p>
                            </w:txbxContent>
                          </wps:txbx>
                          <wps:bodyPr rot="0" vert="horz" wrap="square" lIns="91440" tIns="45720" rIns="91440" bIns="45720" anchor="t" anchorCtr="0" upright="1">
                            <a:noAutofit/>
                          </wps:bodyPr>
                        </wps:wsp>
                        <wps:wsp>
                          <wps:cNvPr id="14" name="AutoShape 19"/>
                          <wps:cNvSpPr>
                            <a:spLocks noChangeArrowheads="1"/>
                          </wps:cNvSpPr>
                          <wps:spPr bwMode="auto">
                            <a:xfrm>
                              <a:off x="1320" y="3622"/>
                              <a:ext cx="1515" cy="4410"/>
                            </a:xfrm>
                            <a:prstGeom prst="roundRect">
                              <a:avLst>
                                <a:gd name="adj" fmla="val 16667"/>
                              </a:avLst>
                            </a:prstGeom>
                            <a:solidFill>
                              <a:schemeClr val="lt1">
                                <a:lumMod val="100000"/>
                                <a:lumOff val="0"/>
                              </a:schemeClr>
                            </a:solidFill>
                            <a:ln w="63500" cmpd="thickThin">
                              <a:solidFill>
                                <a:schemeClr val="accent6">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B58F59D" w14:textId="77777777" w:rsidR="00294015" w:rsidRPr="0072604D" w:rsidRDefault="00294015" w:rsidP="00D44BA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Donde se definan objetivos de gobierno, políticas, ejes de desarrollo y líneas de acción</w:t>
                                </w:r>
                              </w:p>
                            </w:txbxContent>
                          </wps:txbx>
                          <wps:bodyPr rot="0" vert="horz" wrap="square" lIns="91440" tIns="45720" rIns="91440" bIns="45720" anchor="t" anchorCtr="0" upright="1">
                            <a:noAutofit/>
                          </wps:bodyPr>
                        </wps:wsp>
                        <wps:wsp>
                          <wps:cNvPr id="15" name="AutoShape 20"/>
                          <wps:cNvSpPr>
                            <a:spLocks noChangeArrowheads="1"/>
                          </wps:cNvSpPr>
                          <wps:spPr bwMode="auto">
                            <a:xfrm>
                              <a:off x="3060" y="3546"/>
                              <a:ext cx="1515" cy="4635"/>
                            </a:xfrm>
                            <a:prstGeom prst="roundRect">
                              <a:avLst>
                                <a:gd name="adj" fmla="val 16667"/>
                              </a:avLst>
                            </a:prstGeom>
                            <a:solidFill>
                              <a:schemeClr val="lt1">
                                <a:lumMod val="100000"/>
                                <a:lumOff val="0"/>
                              </a:schemeClr>
                            </a:solidFill>
                            <a:ln w="63500" cmpd="thickThin">
                              <a:solidFill>
                                <a:schemeClr val="accent6">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0E562F3"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Establece objetivos e indicadores estratégicos y de gestión, define bienes y servicios a producir y actividades para su ejecución, así como los beneficiarios de</w:t>
                                </w:r>
                                <w:r w:rsidR="004C2A64">
                                  <w:rPr>
                                    <w:rFonts w:asciiTheme="minorHAnsi" w:hAnsiTheme="minorHAnsi"/>
                                    <w:color w:val="E36C0A" w:themeColor="accent6" w:themeShade="BF"/>
                                    <w:lang w:val="es-MX"/>
                                  </w:rPr>
                                  <w:t>l</w:t>
                                </w:r>
                                <w:r w:rsidRPr="0072604D">
                                  <w:rPr>
                                    <w:rFonts w:asciiTheme="minorHAnsi" w:hAnsiTheme="minorHAnsi"/>
                                    <w:color w:val="E36C0A" w:themeColor="accent6" w:themeShade="BF"/>
                                    <w:lang w:val="es-MX"/>
                                  </w:rPr>
                                  <w:t xml:space="preserve"> </w:t>
                                </w:r>
                                <w:r w:rsidRPr="004D7D7C">
                                  <w:rPr>
                                    <w:rFonts w:asciiTheme="minorHAnsi" w:hAnsiTheme="minorHAnsi"/>
                                    <w:color w:val="E36C0A" w:themeColor="accent6" w:themeShade="BF"/>
                                    <w:lang w:val="es-MX"/>
                                  </w:rPr>
                                  <w:t>programa</w:t>
                                </w:r>
                              </w:p>
                            </w:txbxContent>
                          </wps:txbx>
                          <wps:bodyPr rot="0" vert="horz" wrap="square" lIns="91440" tIns="45720" rIns="91440" bIns="45720" anchor="t" anchorCtr="0" upright="1">
                            <a:noAutofit/>
                          </wps:bodyPr>
                        </wps:wsp>
                        <wps:wsp>
                          <wps:cNvPr id="16" name="AutoShape 21"/>
                          <wps:cNvSpPr>
                            <a:spLocks noChangeArrowheads="1"/>
                          </wps:cNvSpPr>
                          <wps:spPr bwMode="auto">
                            <a:xfrm>
                              <a:off x="4800" y="3682"/>
                              <a:ext cx="1920" cy="4380"/>
                            </a:xfrm>
                            <a:prstGeom prst="roundRect">
                              <a:avLst>
                                <a:gd name="adj" fmla="val 16667"/>
                              </a:avLst>
                            </a:prstGeom>
                            <a:solidFill>
                              <a:schemeClr val="lt1">
                                <a:lumMod val="100000"/>
                                <a:lumOff val="0"/>
                              </a:schemeClr>
                            </a:solidFill>
                            <a:ln w="63500" cmpd="thickThin">
                              <a:solidFill>
                                <a:schemeClr val="accent6">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677A299"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Donde se vincule la planeació</w:t>
                                </w:r>
                                <w:r w:rsidR="004C2A64">
                                  <w:rPr>
                                    <w:rFonts w:asciiTheme="minorHAnsi" w:hAnsiTheme="minorHAnsi"/>
                                    <w:color w:val="E36C0A" w:themeColor="accent6" w:themeShade="BF"/>
                                    <w:lang w:val="es-MX"/>
                                  </w:rPr>
                                  <w:t>n con los programas públicos y é</w:t>
                                </w:r>
                                <w:r w:rsidRPr="0072604D">
                                  <w:rPr>
                                    <w:rFonts w:asciiTheme="minorHAnsi" w:hAnsiTheme="minorHAnsi"/>
                                    <w:color w:val="E36C0A" w:themeColor="accent6" w:themeShade="BF"/>
                                    <w:lang w:val="es-MX"/>
                                  </w:rPr>
                                  <w:t>stos a su vez con el presupuesto, las metas y objetivos que se quieren lograr y los indicadores con lo que se habrá de evaluar</w:t>
                                </w:r>
                              </w:p>
                            </w:txbxContent>
                          </wps:txbx>
                          <wps:bodyPr rot="0" vert="horz" wrap="square" lIns="91440" tIns="45720" rIns="91440" bIns="45720" anchor="t" anchorCtr="0" upright="1">
                            <a:noAutofit/>
                          </wps:bodyPr>
                        </wps:wsp>
                        <wps:wsp>
                          <wps:cNvPr id="17" name="AutoShape 22"/>
                          <wps:cNvSpPr>
                            <a:spLocks noChangeArrowheads="1"/>
                          </wps:cNvSpPr>
                          <wps:spPr bwMode="auto">
                            <a:xfrm>
                              <a:off x="7005" y="3667"/>
                              <a:ext cx="1725" cy="4440"/>
                            </a:xfrm>
                            <a:prstGeom prst="roundRect">
                              <a:avLst>
                                <a:gd name="adj" fmla="val 16667"/>
                              </a:avLst>
                            </a:prstGeom>
                            <a:solidFill>
                              <a:schemeClr val="lt1">
                                <a:lumMod val="100000"/>
                                <a:lumOff val="0"/>
                              </a:schemeClr>
                            </a:solidFill>
                            <a:ln w="63500" cmpd="thickThin">
                              <a:solidFill>
                                <a:schemeClr val="accent6">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B11BF33"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Da seguimiento y evaluación a los indicadores de los programas públicos, establece los criterios de evaluación y genera información para la toma de decisiones y la asignación de los recursos</w:t>
                                </w:r>
                              </w:p>
                            </w:txbxContent>
                          </wps:txbx>
                          <wps:bodyPr rot="0" vert="horz" wrap="square" lIns="91440" tIns="45720" rIns="91440" bIns="45720" anchor="t" anchorCtr="0" upright="1">
                            <a:noAutofit/>
                          </wps:bodyPr>
                        </wps:wsp>
                        <wps:wsp>
                          <wps:cNvPr id="18" name="AutoShape 23"/>
                          <wps:cNvSpPr>
                            <a:spLocks noChangeArrowheads="1"/>
                          </wps:cNvSpPr>
                          <wps:spPr bwMode="auto">
                            <a:xfrm>
                              <a:off x="8955" y="3682"/>
                              <a:ext cx="1635" cy="4425"/>
                            </a:xfrm>
                            <a:prstGeom prst="roundRect">
                              <a:avLst>
                                <a:gd name="adj" fmla="val 16667"/>
                              </a:avLst>
                            </a:prstGeom>
                            <a:solidFill>
                              <a:schemeClr val="lt1">
                                <a:lumMod val="100000"/>
                                <a:lumOff val="0"/>
                              </a:schemeClr>
                            </a:solidFill>
                            <a:ln w="63500" cmpd="thickThin">
                              <a:solidFill>
                                <a:schemeClr val="accent6">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88EA0AE"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Que permitan, con base en la información de evaluación, establecer mejoras a la gestión de programas y al gasto público</w:t>
                                </w:r>
                              </w:p>
                            </w:txbxContent>
                          </wps:txbx>
                          <wps:bodyPr rot="0" vert="horz" wrap="square" lIns="91440" tIns="45720" rIns="91440" bIns="45720" anchor="t" anchorCtr="0" upright="1">
                            <a:noAutofit/>
                          </wps:bodyPr>
                        </wps:wsp>
                        <wps:wsp>
                          <wps:cNvPr id="19" name="AutoShape 24"/>
                          <wps:cNvCnPr>
                            <a:cxnSpLocks noChangeShapeType="1"/>
                          </wps:cNvCnPr>
                          <wps:spPr bwMode="auto">
                            <a:xfrm>
                              <a:off x="1140" y="8226"/>
                              <a:ext cx="9465" cy="60"/>
                            </a:xfrm>
                            <a:prstGeom prst="straightConnector1">
                              <a:avLst/>
                            </a:prstGeom>
                            <a:noFill/>
                            <a:ln w="28575">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CC539BF" id="Group 26" o:spid="_x0000_s1026" style="position:absolute;left:0;text-align:left;margin-left:17.35pt;margin-top:14.15pt;width:454.25pt;height:205.7pt;z-index:251657728" coordorigin="1140,2526" coordsize="9465,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pRQDwcAAJU7AAAOAAAAZHJzL2Uyb0RvYy54bWzsW1lv4zYQfi/Q/yDo3Wvdh7HOIvGxKLBt&#10;F02KPjOSbKkriyolx06L/vfODClZVowmu2kMJFUCGDooHsPhN8P5OO8/7De5dpeIKuPFVDffGbqW&#10;FBGPs2I91X+9WY4CXatqVsQs50Uy1e+TSv9w8f1373flJLF4yvM4ERpUUlSTXTnV07ouJ+NxFaXJ&#10;hlXveJkU8HLFxYbVcCvW41iwHdS+yceWYXjjHRdxKXiUVBU8ncuX+gXVv1olUf3zalUltZZPdehb&#10;Tb+Cfm/xd3zxnk3WgpVpFqlusG/oxYZlBTTaVjVnNdO2IntQ1SaLBK/4qn4X8c2Yr1ZZlNAYYDSm&#10;0RvNR8G3JY1lPdmty1ZMINqenL652uinu89Cy+Kp7ulawTYwRdSqZnkom125nkCRj6K8Lj8LOUC4&#10;/MSjLxW8Hvff4/1aFtZudz/yGOpj25qTbPYrscEqYNTanqbgvp2CZF9rETx0fS80POhLBO8sz7Rc&#10;35KTFKUwk/idaTowk/jalZ1kkyhdqO9Dx3Plx1ATTe+YTWTD1FnVORwZKFx1kGn1PJlep6xMaKoq&#10;FJiSqd/I9BJkQEW0UIqVSjUyraRAtYLPUlask0sh+C5NWAydMrE8dL3zAd5UMB2PSti03b6kGjmb&#10;jg+vUMih41ITjZjYpBRV/THhGw0vpjooYRH/AiuJJpHdfapqUoRY6QuLf9e11SaHdXPHcs30PM9X&#10;NarCMAVNnWqNxMsszzXB69+yOiXBoCbQy6qpv9JKDgKQjwkQklkuNGgDdCqKkqI26Yt8uwFFk89N&#10;A/+wdTaB56gxVL7RhLYakCks1kq2KBtS3+Kjtti/t+Y7X9kYtanGV7I61fBnqldKedhkBWK54Shs&#10;BCyXBoOgpa4AuNQVgJe8Qu0A8UI9ckiCkWxJAAX+FhxlLYvl9CQhXFTd4Ns6EddpvNPiDGfbCuwQ&#10;MDvOoC07MDwjBCVm+RrQPaqFfnLOniiutsNPmZu2XzSsoy6DDqvOozYTyv4VmpZjXFnhaOkF/shZ&#10;Ou4o9I1gZJjhVegZTujMl3+jupjOJM3iOCk+ZUXSIL7pPG31K9sjsZowX9u1GsrzrBV9Jda3rbLi&#10;LEqlhJmqusVoaZGy4mpfFDFd1yzL5fX4uLtSFHtYflBRIwXCBoQDiWn1/nYPtSBG3PL4HlACVhn2&#10;Ea00XKRc/KlrO7B4oHd/bJlIdC3/oYCFFpoOAmtNNw7gLtyI7pvb7htWRFDVVK9BO+hyVsMdfLIt&#10;RbZOoSW5OguO2LfKatTAQ6/UDSCwNDJrNBry8gCfoIdHJomAqm9y0Ob+VybphGlpAPOhYUGz8/pM&#10;UtjI9GCSTCXXjokBPX0hm2QDpPSsdyPiwSaRfUDQXivjN9ikwSYddkMnvfxXYpNoj0HO7MEIvAbT&#10;dIZdgmmewGS1/ToLJjs+bgZoR+XTFJF3QfsxM0C4HvYJAyYP+4QJeONvap9AmEzhlQGTacd02HqY&#10;1glMprAGigrKvXTsxgt9CGSdxmTPVjGuIXYz+MlD7ObtYbKNEcwBk/uYbJ/A5KAR1RkwOQgthcme&#10;0feT3cFPHuLpsEto49ZDPP2IyX31sQunAZrXE1Y/R+zCOYHJ5+U4kacAP9n2LMUUt/FkFyLbFLtw&#10;HLNhABsSuiEkX4rkPOJ5egRZ/mzm8qj2vEAWCjYFQDJp0aaMgZWB4wxfblJ1KOGodK8vkkn1nsmk&#10;HrXwOKs16RGRRHs1hJYMPkla73LpGr5jByPfd+2RYy+M0VWwnI0uZ0Az+4ur2dXCPKb1FkRuVs9n&#10;9jAMf0Q79pHddkMLInfElFq+5PgeZUq7vGDg4T/CCsT929oluXegaDscoBqbLPE4DUjb+5bbGWCr&#10;czADgUFSiwcaDHBEed1ncCVbGsx2HVKBTsj1AFu40ZfqMcAWngjrHwAZYEued+scSHgjsNXSHwNs&#10;dWGrPaTXga2WVDsDbDkB+hjkbQV9bytERwyZIrDXg7cFZ65wKQ7e1qkDrw856zcCWy1DMMBWF7ZO&#10;nIOVm7UzkSngncvAna3Opna8LR9jegRbePxt8LYG2MLEgyeGq94IbLVB9AG2urDVnj/teFstNXMG&#10;bysI3Qa2HnhbLQfsOABgA2wNsPX/g602zjzAVhe2Thzxtlr2AmBrVshUrmhfqFSuNvOIUnFu7ktI&#10;26JtZZN4JD9Bb+1piUdNilZgNSlaTVD+cI6+l551yBFSIfmqFgwzCWa8KCAhhguZUEA5RRLvmhg+&#10;WuE2zQWSSygebgUunKChPVg35eLkhuy5iUQvFf4OjXARLAJn5FjeYuQY8/nocjlzRt7S9N25PZ/N&#10;5r3wN+VVyXTKZ5xWOxJoJwCNtR+iz0Og/ogh6MjpKwL1ErpQn3F1UT4MXKksSnpKuZ8kdZWnisml&#10;3XsqdcimvfgHAAD//wMAUEsDBBQABgAIAAAAIQBXqpkS4QAAAAkBAAAPAAAAZHJzL2Rvd25yZXYu&#10;eG1sTI9BS8NAFITvgv9heYI3u0k22jbNSylFPRXBVpDettnXJDS7G7LbJP33ric9DjPMfJOvJ92y&#10;gXrXWIMQzyJgZEqrGlMhfB3enhbAnJdGydYaQriRg3Vxf5fLTNnRfNKw9xULJcZlEqH2vss4d2VN&#10;WrqZ7cgE72x7LX2QfcVVL8dQrlueRNEL17IxYaGWHW1rKi/7q0Z4H+W4EfHrsLuct7fj4fnjexcT&#10;4uPDtFkB8zT5vzD84gd0KALTyV6NcqxFEOk8JBGShQAW/GUqEmAnhFQs58CLnP9/UPwAAAD//wMA&#10;UEsBAi0AFAAGAAgAAAAhALaDOJL+AAAA4QEAABMAAAAAAAAAAAAAAAAAAAAAAFtDb250ZW50X1R5&#10;cGVzXS54bWxQSwECLQAUAAYACAAAACEAOP0h/9YAAACUAQAACwAAAAAAAAAAAAAAAAAvAQAAX3Jl&#10;bHMvLnJlbHNQSwECLQAUAAYACAAAACEAT6KUUA8HAACVOwAADgAAAAAAAAAAAAAAAAAuAgAAZHJz&#10;L2Uyb0RvYy54bWxQSwECLQAUAAYACAAAACEAV6qZEuEAAAAJAQAADwAAAAAAAAAAAAAAAABpCQAA&#10;ZHJzL2Rvd25yZXYueG1sUEsFBgAAAAAEAAQA8wAAAHcKAAAAAA==&#10;">
                <v:roundrect id="AutoShape 9" o:spid="_x0000_s1027" style="position:absolute;left:1350;top:2526;width:1470;height:9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md7wwAAANoAAAAPAAAAZHJzL2Rvd25yZXYueG1sRI9BS8NA&#10;FITvBf/D8gQvxW70oCVmU6oS0Is0raXXR/aZBLNvw+5rG/+9Kwg9DjPzDVOsJjeoE4XYezZwt8hA&#10;ETfe9twa+NxVt0tQUZAtDp7JwA9FWJVXswJz689c02krrUoQjjka6ETGXOvYdOQwLvxInLwvHxxK&#10;kqHVNuA5wd2g77PsQTvsOS10ONJLR8339ugMVMsan18l28jmfV2FfTzWh/mHMTfX0/oJlNAkl/B/&#10;+80aeIS/K+kG6PIXAAD//wMAUEsBAi0AFAAGAAgAAAAhANvh9svuAAAAhQEAABMAAAAAAAAAAAAA&#10;AAAAAAAAAFtDb250ZW50X1R5cGVzXS54bWxQSwECLQAUAAYACAAAACEAWvQsW78AAAAVAQAACwAA&#10;AAAAAAAAAAAAAAAfAQAAX3JlbHMvLnJlbHNQSwECLQAUAAYACAAAACEA9Qpne8MAAADaAAAADwAA&#10;AAAAAAAAAAAAAAAHAgAAZHJzL2Rvd25yZXYueG1sUEsFBgAAAAADAAMAtwAAAPcCAAAAAA==&#10;" fillcolor="#4f81bd [3204]" stroked="f" strokeweight="0">
                  <v:fill color2="#365e8f [2372]" focusposition=".5,.5" focussize="" focus="100%" type="gradientRadial"/>
                  <v:shadow on="t" color="#243f60 [1604]" offset="1pt"/>
                  <v:textbox>
                    <w:txbxContent>
                      <w:p w14:paraId="35231489" w14:textId="77777777" w:rsidR="00294015" w:rsidRDefault="00294015" w:rsidP="00D44BAD">
                        <w:pPr>
                          <w:jc w:val="center"/>
                          <w:rPr>
                            <w:rFonts w:asciiTheme="minorHAnsi" w:hAnsiTheme="minorHAnsi"/>
                            <w:b/>
                            <w:color w:val="FFFFFF" w:themeColor="background1"/>
                            <w:lang w:val="es-MX"/>
                          </w:rPr>
                        </w:pPr>
                        <w:r w:rsidRPr="00D44BAD">
                          <w:rPr>
                            <w:rFonts w:asciiTheme="minorHAnsi" w:hAnsiTheme="minorHAnsi"/>
                            <w:b/>
                            <w:color w:val="FFFFFF" w:themeColor="background1"/>
                            <w:lang w:val="es-MX"/>
                          </w:rPr>
                          <w:t xml:space="preserve">Planeación del </w:t>
                        </w:r>
                      </w:p>
                      <w:p w14:paraId="1DD789E3" w14:textId="77777777" w:rsidR="00294015" w:rsidRPr="00D44BAD" w:rsidRDefault="00294015" w:rsidP="00D44BAD">
                        <w:pPr>
                          <w:jc w:val="center"/>
                          <w:rPr>
                            <w:rFonts w:asciiTheme="minorHAnsi" w:hAnsiTheme="minorHAnsi"/>
                            <w:b/>
                            <w:color w:val="FFFFFF" w:themeColor="background1"/>
                            <w:lang w:val="es-MX"/>
                          </w:rPr>
                        </w:pPr>
                        <w:r w:rsidRPr="00D44BAD">
                          <w:rPr>
                            <w:rFonts w:asciiTheme="minorHAnsi" w:hAnsiTheme="minorHAnsi"/>
                            <w:b/>
                            <w:color w:val="FFFFFF" w:themeColor="background1"/>
                            <w:lang w:val="es-MX"/>
                          </w:rPr>
                          <w:t>Desarrollo</w:t>
                        </w:r>
                      </w:p>
                    </w:txbxContent>
                  </v:textbox>
                </v:roundrect>
                <v:group id="Group 25" o:spid="_x0000_s1028" style="position:absolute;left:1140;top:2526;width:9465;height:5760" coordorigin="1140,2526" coordsize="9465,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5" o:spid="_x0000_s1029" style="position:absolute;left:3060;top:2526;width:1470;height:9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VaSxAAAANoAAAAPAAAAZHJzL2Rvd25yZXYueG1sRI9BS8NA&#10;FITvgv9heYIXaTd6kDZ2W6oS0EtposXrI/tMgtm3Yfe1jf++Wyj0OMzMN8xiNbpeHSjEzrOBx2kG&#10;irj2tuPGwPdXMZmBioJssfdMBv4pwmp5e7PA3Pojl3SopFEJwjFHA63IkGsd65YcxqkfiJP364ND&#10;STI02gY8Jrjr9VOWPWuHHaeFFgd6a6n+q/bOQDEr8fVdsq1sP9dF2MV9+fOwMeb+bly/gBIa5Rq+&#10;tD+sgTmcr6QboJcnAAAA//8DAFBLAQItABQABgAIAAAAIQDb4fbL7gAAAIUBAAATAAAAAAAAAAAA&#10;AAAAAAAAAABbQ29udGVudF9UeXBlc10ueG1sUEsBAi0AFAAGAAgAAAAhAFr0LFu/AAAAFQEAAAsA&#10;AAAAAAAAAAAAAAAAHwEAAF9yZWxzLy5yZWxzUEsBAi0AFAAGAAgAAAAhAOvZVpLEAAAA2gAAAA8A&#10;AAAAAAAAAAAAAAAABwIAAGRycy9kb3ducmV2LnhtbFBLBQYAAAAAAwADALcAAAD4AgAAAAA=&#10;" fillcolor="#4f81bd [3204]" stroked="f" strokeweight="0">
                    <v:fill color2="#365e8f [2372]" focusposition=".5,.5" focussize="" focus="100%" type="gradientRadial"/>
                    <v:shadow on="t" color="#243f60 [1604]" offset="1pt"/>
                    <v:textbox>
                      <w:txbxContent>
                        <w:p w14:paraId="3308B4D0"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Programas Públicos</w:t>
                          </w:r>
                        </w:p>
                      </w:txbxContent>
                    </v:textbox>
                  </v:roundrect>
                  <v:roundrect id="AutoShape 16" o:spid="_x0000_s1030" style="position:absolute;left:4770;top:2571;width:1860;height:9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td0wgAAANsAAAAPAAAAZHJzL2Rvd25yZXYueG1sRE9Na8JA&#10;EL0X+h+WKfRSdGMPItFVbEugvRRjK16H7JgEs7Nhd9T033cFwds83ucsVoPr1JlCbD0bmIwzUMSV&#10;ty3XBn5/itEMVBRki51nMvBHEVbLx4cF5tZfuKTzVmqVQjjmaKAR6XOtY9WQwzj2PXHiDj44lARD&#10;rW3ASwp3nX7Nsql22HJqaLCn94aq4/bkDBSzEt8+JNvI5mtdhF08lfuXb2Oen4b1HJTQIHfxzf1p&#10;0/wJXH9JB+jlPwAAAP//AwBQSwECLQAUAAYACAAAACEA2+H2y+4AAACFAQAAEwAAAAAAAAAAAAAA&#10;AAAAAAAAW0NvbnRlbnRfVHlwZXNdLnhtbFBLAQItABQABgAIAAAAIQBa9CxbvwAAABUBAAALAAAA&#10;AAAAAAAAAAAAAB8BAABfcmVscy8ucmVsc1BLAQItABQABgAIAAAAIQCYatd0wgAAANsAAAAPAAAA&#10;AAAAAAAAAAAAAAcCAABkcnMvZG93bnJldi54bWxQSwUGAAAAAAMAAwC3AAAA9gIAAAAA&#10;" fillcolor="#4f81bd [3204]" stroked="f" strokeweight="0">
                    <v:fill color2="#365e8f [2372]" focusposition=".5,.5" focussize="" focus="100%" type="gradientRadial"/>
                    <v:shadow on="t" color="#243f60 [1604]" offset="1pt"/>
                    <v:textbox>
                      <w:txbxContent>
                        <w:p w14:paraId="4E0FE066" w14:textId="77777777" w:rsidR="00294015"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 xml:space="preserve">Presupuesto con base en </w:t>
                          </w:r>
                        </w:p>
                        <w:p w14:paraId="52208D15"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Resultados</w:t>
                          </w:r>
                        </w:p>
                      </w:txbxContent>
                    </v:textbox>
                  </v:roundrect>
                  <v:roundrect id="AutoShape 17" o:spid="_x0000_s1031" style="position:absolute;left:6975;top:2571;width:1635;height:9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EkDwgAAANsAAAAPAAAAZHJzL2Rvd25yZXYueG1sRE9Na8JA&#10;EL0X+h+WKfRSdFMPItFVbEugvRRjK16H7JgEs7Nhd9T033cFwds83ucsVoPr1JlCbD0beB1noIgr&#10;b1uuDfz+FKMZqCjIFjvPZOCPIqyWjw8LzK2/cEnnrdQqhXDM0UAj0udax6ohh3Hse+LEHXxwKAmG&#10;WtuAlxTuOj3Jsql22HJqaLCn94aq4/bkDBSzEt8+JNvI5mtdhF08lfuXb2Oen4b1HJTQIHfxzf1p&#10;0/wJXH9JB+jlPwAAAP//AwBQSwECLQAUAAYACAAAACEA2+H2y+4AAACFAQAAEwAAAAAAAAAAAAAA&#10;AAAAAAAAW0NvbnRlbnRfVHlwZXNdLnhtbFBLAQItABQABgAIAAAAIQBa9CxbvwAAABUBAAALAAAA&#10;AAAAAAAAAAAAAB8BAABfcmVscy8ucmVsc1BLAQItABQABgAIAAAAIQBouEkDwgAAANsAAAAPAAAA&#10;AAAAAAAAAAAAAAcCAABkcnMvZG93bnJldi54bWxQSwUGAAAAAAMAAwC3AAAA9gIAAAAA&#10;" fillcolor="#4f81bd [3204]" stroked="f" strokeweight="0">
                    <v:fill color2="#365e8f [2372]" focusposition=".5,.5" focussize="" focus="100%" type="gradientRadial"/>
                    <v:shadow on="t" color="#243f60 [1604]" offset="1pt"/>
                    <v:textbox>
                      <w:txbxContent>
                        <w:p w14:paraId="0941A4CF"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Sistema de Evaluación del Desempeño</w:t>
                          </w:r>
                        </w:p>
                      </w:txbxContent>
                    </v:textbox>
                  </v:roundrect>
                  <v:roundrect id="AutoShape 18" o:spid="_x0000_s1032" style="position:absolute;left:8925;top:2601;width:1560;height:9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OyYwgAAANsAAAAPAAAAZHJzL2Rvd25yZXYueG1sRE9NS8NA&#10;EL0X/A/LCF6K3aggJWZTqhLQizStpdchOybB7GzYnbbx37uC0Ns83ucUq8kN6kQh9p4N3C0yUMSN&#10;tz23Bj531e0SVBRki4NnMvBDEVbl1azA3Poz13TaSqtSCMccDXQiY651bDpyGBd+JE7clw8OJcHQ&#10;ahvwnMLdoO+z7FE77Dk1dDjSS0fN9/boDFTLGp9fJdvI5n1dhX081of5hzE319P6CZTQJBfxv/vN&#10;pvkP8PdLOkCXvwAAAP//AwBQSwECLQAUAAYACAAAACEA2+H2y+4AAACFAQAAEwAAAAAAAAAAAAAA&#10;AAAAAAAAW0NvbnRlbnRfVHlwZXNdLnhtbFBLAQItABQABgAIAAAAIQBa9CxbvwAAABUBAAALAAAA&#10;AAAAAAAAAAAAAB8BAABfcmVscy8ucmVsc1BLAQItABQABgAIAAAAIQAH9OyYwgAAANsAAAAPAAAA&#10;AAAAAAAAAAAAAAcCAABkcnMvZG93bnJldi54bWxQSwUGAAAAAAMAAwC3AAAA9gIAAAAA&#10;" fillcolor="#4f81bd [3204]" stroked="f" strokeweight="0">
                    <v:fill color2="#365e8f [2372]" focusposition=".5,.5" focussize="" focus="100%" type="gradientRadial"/>
                    <v:shadow on="t" color="#243f60 [1604]" offset="1pt"/>
                    <v:textbox>
                      <w:txbxContent>
                        <w:p w14:paraId="0E1BB8D7" w14:textId="77777777" w:rsidR="00294015" w:rsidRPr="00D44BAD" w:rsidRDefault="00294015" w:rsidP="00D44BAD">
                          <w:pPr>
                            <w:jc w:val="center"/>
                            <w:rPr>
                              <w:rFonts w:asciiTheme="minorHAnsi" w:hAnsiTheme="minorHAnsi"/>
                              <w:b/>
                              <w:color w:val="FFFFFF" w:themeColor="background1"/>
                              <w:lang w:val="es-MX"/>
                            </w:rPr>
                          </w:pPr>
                          <w:r>
                            <w:rPr>
                              <w:rFonts w:asciiTheme="minorHAnsi" w:hAnsiTheme="minorHAnsi"/>
                              <w:b/>
                              <w:color w:val="FFFFFF" w:themeColor="background1"/>
                              <w:lang w:val="es-MX"/>
                            </w:rPr>
                            <w:t>Programas de Mejora gasto y gestión</w:t>
                          </w:r>
                        </w:p>
                      </w:txbxContent>
                    </v:textbox>
                  </v:roundrect>
                  <v:roundrect id="AutoShape 19" o:spid="_x0000_s1033" style="position:absolute;left:1320;top:3622;width:1515;height:441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l8hwgAAANsAAAAPAAAAZHJzL2Rvd25yZXYueG1sRE9Na8JA&#10;EL0X/A/LCN7qxmKLpK6ihYCnlEZReptmp0kwOxt2V43+erdQ8DaP9znzZW9acSbnG8sKJuMEBHFp&#10;dcOVgt02e56B8AFZY2uZFFzJw3IxeJpjqu2Fv+hchErEEPYpKqhD6FIpfVmTQT+2HXHkfq0zGCJ0&#10;ldQOLzHctPIlSd6kwYZjQ40dfdRUHouTUZDb26vL15+H/TbLvqc/ptEhL5QaDfvVO4hAfXiI/90b&#10;HedP4e+XeIBc3AEAAP//AwBQSwECLQAUAAYACAAAACEA2+H2y+4AAACFAQAAEwAAAAAAAAAAAAAA&#10;AAAAAAAAW0NvbnRlbnRfVHlwZXNdLnhtbFBLAQItABQABgAIAAAAIQBa9CxbvwAAABUBAAALAAAA&#10;AAAAAAAAAAAAAB8BAABfcmVscy8ucmVsc1BLAQItABQABgAIAAAAIQBs4l8hwgAAANsAAAAPAAAA&#10;AAAAAAAAAAAAAAcCAABkcnMvZG93bnJldi54bWxQSwUGAAAAAAMAAwC3AAAA9gIAAAAA&#10;" fillcolor="white [3201]" strokecolor="#f79646 [3209]" strokeweight="5pt">
                    <v:stroke linestyle="thickThin"/>
                    <v:shadow color="#868686"/>
                    <v:textbox>
                      <w:txbxContent>
                        <w:p w14:paraId="7B58F59D" w14:textId="77777777" w:rsidR="00294015" w:rsidRPr="0072604D" w:rsidRDefault="00294015" w:rsidP="00D44BA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Donde se definan objetivos de gobierno, políticas, ejes de desarrollo y líneas de acción</w:t>
                          </w:r>
                        </w:p>
                      </w:txbxContent>
                    </v:textbox>
                  </v:roundrect>
                  <v:roundrect id="AutoShape 20" o:spid="_x0000_s1034" style="position:absolute;left:3060;top:3546;width:1515;height:46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vq6wgAAANsAAAAPAAAAZHJzL2Rvd25yZXYueG1sRE9Na8JA&#10;EL0L/Q/LFHozm5YqJbpKWwj0FDGWFm9jdkxCs7Nhd6vRX+8Kgrd5vM+ZLwfTiQM531pW8JykIIgr&#10;q1uuFXxv8vEbCB+QNXaWScGJPCwXD6M5ZtoeeU2HMtQihrDPUEETQp9J6auGDPrE9sSR21tnMETo&#10;aqkdHmO46eRLmk6lwZZjQ4M9fTZU/ZX/RkFhzxNXfKx+fzZ5vn3dmVaHolTq6XF4n4EINIS7+Ob+&#10;0nH+BK6/xAPk4gIAAP//AwBQSwECLQAUAAYACAAAACEA2+H2y+4AAACFAQAAEwAAAAAAAAAAAAAA&#10;AAAAAAAAW0NvbnRlbnRfVHlwZXNdLnhtbFBLAQItABQABgAIAAAAIQBa9CxbvwAAABUBAAALAAAA&#10;AAAAAAAAAAAAAB8BAABfcmVscy8ucmVsc1BLAQItABQABgAIAAAAIQADrvq6wgAAANsAAAAPAAAA&#10;AAAAAAAAAAAAAAcCAABkcnMvZG93bnJldi54bWxQSwUGAAAAAAMAAwC3AAAA9gIAAAAA&#10;" fillcolor="white [3201]" strokecolor="#f79646 [3209]" strokeweight="5pt">
                    <v:stroke linestyle="thickThin"/>
                    <v:shadow color="#868686"/>
                    <v:textbox>
                      <w:txbxContent>
                        <w:p w14:paraId="30E562F3"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Establece objetivos e indicadores estratégicos y de gestión, define bienes y servicios a producir y actividades para su ejecución, así como los beneficiarios de</w:t>
                          </w:r>
                          <w:r w:rsidR="004C2A64">
                            <w:rPr>
                              <w:rFonts w:asciiTheme="minorHAnsi" w:hAnsiTheme="minorHAnsi"/>
                              <w:color w:val="E36C0A" w:themeColor="accent6" w:themeShade="BF"/>
                              <w:lang w:val="es-MX"/>
                            </w:rPr>
                            <w:t>l</w:t>
                          </w:r>
                          <w:r w:rsidRPr="0072604D">
                            <w:rPr>
                              <w:rFonts w:asciiTheme="minorHAnsi" w:hAnsiTheme="minorHAnsi"/>
                              <w:color w:val="E36C0A" w:themeColor="accent6" w:themeShade="BF"/>
                              <w:lang w:val="es-MX"/>
                            </w:rPr>
                            <w:t xml:space="preserve"> </w:t>
                          </w:r>
                          <w:r w:rsidRPr="004D7D7C">
                            <w:rPr>
                              <w:rFonts w:asciiTheme="minorHAnsi" w:hAnsiTheme="minorHAnsi"/>
                              <w:color w:val="E36C0A" w:themeColor="accent6" w:themeShade="BF"/>
                              <w:lang w:val="es-MX"/>
                            </w:rPr>
                            <w:t>programa</w:t>
                          </w:r>
                        </w:p>
                      </w:txbxContent>
                    </v:textbox>
                  </v:roundrect>
                  <v:roundrect id="AutoShape 21" o:spid="_x0000_s1035" style="position:absolute;left:4800;top:3682;width:1920;height:43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GTNwgAAANsAAAAPAAAAZHJzL2Rvd25yZXYueG1sRE9Na8JA&#10;EL0L/odlBG+6sViR1FW0EOgpxShKb9PsNAlmZ8PuVtP+erdQ8DaP9zmrTW9acSXnG8sKZtMEBHFp&#10;dcOVguMhmyxB+ICssbVMCn7Iw2Y9HKww1fbGe7oWoRIxhH2KCuoQulRKX9Zk0E9tRxy5L+sMhghd&#10;JbXDWww3rXxKkoU02HBsqLGj15rKS/FtFOT299nlu/fz6ZBlH/NP0+iQF0qNR/32BUSgPjzE/+43&#10;Hecv4O+XeIBc3wEAAP//AwBQSwECLQAUAAYACAAAACEA2+H2y+4AAACFAQAAEwAAAAAAAAAAAAAA&#10;AAAAAAAAW0NvbnRlbnRfVHlwZXNdLnhtbFBLAQItABQABgAIAAAAIQBa9CxbvwAAABUBAAALAAAA&#10;AAAAAAAAAAAAAB8BAABfcmVscy8ucmVsc1BLAQItABQABgAIAAAAIQDzfGTNwgAAANsAAAAPAAAA&#10;AAAAAAAAAAAAAAcCAABkcnMvZG93bnJldi54bWxQSwUGAAAAAAMAAwC3AAAA9gIAAAAA&#10;" fillcolor="white [3201]" strokecolor="#f79646 [3209]" strokeweight="5pt">
                    <v:stroke linestyle="thickThin"/>
                    <v:shadow color="#868686"/>
                    <v:textbox>
                      <w:txbxContent>
                        <w:p w14:paraId="2677A299"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Donde se vincule la planeació</w:t>
                          </w:r>
                          <w:r w:rsidR="004C2A64">
                            <w:rPr>
                              <w:rFonts w:asciiTheme="minorHAnsi" w:hAnsiTheme="minorHAnsi"/>
                              <w:color w:val="E36C0A" w:themeColor="accent6" w:themeShade="BF"/>
                              <w:lang w:val="es-MX"/>
                            </w:rPr>
                            <w:t>n con los programas públicos y é</w:t>
                          </w:r>
                          <w:r w:rsidRPr="0072604D">
                            <w:rPr>
                              <w:rFonts w:asciiTheme="minorHAnsi" w:hAnsiTheme="minorHAnsi"/>
                              <w:color w:val="E36C0A" w:themeColor="accent6" w:themeShade="BF"/>
                              <w:lang w:val="es-MX"/>
                            </w:rPr>
                            <w:t>stos a su vez con el presupuesto, las metas y objetivos que se quieren lograr y los indicadores con lo que se habrá de evaluar</w:t>
                          </w:r>
                        </w:p>
                      </w:txbxContent>
                    </v:textbox>
                  </v:roundrect>
                  <v:roundrect id="AutoShape 22" o:spid="_x0000_s1036" style="position:absolute;left:7005;top:3667;width:1725;height:44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MFWwgAAANsAAAAPAAAAZHJzL2Rvd25yZXYueG1sRE9Na8JA&#10;EL0X/A/LCL3VjdLaEl2lFQKeIkax9DbNjkkwOxt2V0399d2C0Ns83ufMl71pxYWcbywrGI8SEMSl&#10;1Q1XCva77OkNhA/IGlvLpOCHPCwXg4c5ptpeeUuXIlQihrBPUUEdQpdK6cuaDPqR7Ygjd7TOYIjQ&#10;VVI7vMZw08pJkkylwYZjQ40drWoqT8XZKMjt7cXlH5vPwy7Lvp6/TaNDXij1OOzfZyAC9eFffHev&#10;dZz/Cn+/xAPk4hcAAP//AwBQSwECLQAUAAYACAAAACEA2+H2y+4AAACFAQAAEwAAAAAAAAAAAAAA&#10;AAAAAAAAW0NvbnRlbnRfVHlwZXNdLnhtbFBLAQItABQABgAIAAAAIQBa9CxbvwAAABUBAAALAAAA&#10;AAAAAAAAAAAAAB8BAABfcmVscy8ucmVsc1BLAQItABQABgAIAAAAIQCcMMFWwgAAANsAAAAPAAAA&#10;AAAAAAAAAAAAAAcCAABkcnMvZG93bnJldi54bWxQSwUGAAAAAAMAAwC3AAAA9gIAAAAA&#10;" fillcolor="white [3201]" strokecolor="#f79646 [3209]" strokeweight="5pt">
                    <v:stroke linestyle="thickThin"/>
                    <v:shadow color="#868686"/>
                    <v:textbox>
                      <w:txbxContent>
                        <w:p w14:paraId="2B11BF33"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Da seguimiento y evaluación a los indicadores de los programas públicos, establece los criterios de evaluación y genera información para la toma de decisiones y la asignación de los recursos</w:t>
                          </w:r>
                        </w:p>
                      </w:txbxContent>
                    </v:textbox>
                  </v:roundrect>
                  <v:roundrect id="AutoShape 23" o:spid="_x0000_s1037" style="position:absolute;left:8955;top:3682;width:1635;height:44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1UkxQAAANsAAAAPAAAAZHJzL2Rvd25yZXYueG1sRI9BS8NA&#10;EIXvgv9hGaE3u1GqSNptUSHQU8RUWnqbZqdJMDsbdrdt9Nc7B6G3Gd6b975ZrEbXqzOF2Hk28DDN&#10;QBHX3nbcGPjaFPcvoGJCtth7JgM/FGG1vL1ZYG79hT/pXKVGSQjHHA20KQ251rFuyWGc+oFYtKMP&#10;DpOsodE24EXCXa8fs+xZO+xYGloc6L2l+rs6OQOl/30K5dvHbrspiv3s4DqbysqYyd34OgeVaExX&#10;8//12gq+wMovMoBe/gEAAP//AwBQSwECLQAUAAYACAAAACEA2+H2y+4AAACFAQAAEwAAAAAAAAAA&#10;AAAAAAAAAAAAW0NvbnRlbnRfVHlwZXNdLnhtbFBLAQItABQABgAIAAAAIQBa9CxbvwAAABUBAAAL&#10;AAAAAAAAAAAAAAAAAB8BAABfcmVscy8ucmVsc1BLAQItABQABgAIAAAAIQDtr1UkxQAAANsAAAAP&#10;AAAAAAAAAAAAAAAAAAcCAABkcnMvZG93bnJldi54bWxQSwUGAAAAAAMAAwC3AAAA+QIAAAAA&#10;" fillcolor="white [3201]" strokecolor="#f79646 [3209]" strokeweight="5pt">
                    <v:stroke linestyle="thickThin"/>
                    <v:shadow color="#868686"/>
                    <v:textbox>
                      <w:txbxContent>
                        <w:p w14:paraId="688EA0AE" w14:textId="77777777" w:rsidR="00294015" w:rsidRPr="0072604D" w:rsidRDefault="00294015" w:rsidP="0072604D">
                          <w:pPr>
                            <w:jc w:val="center"/>
                            <w:rPr>
                              <w:rFonts w:asciiTheme="minorHAnsi" w:hAnsiTheme="minorHAnsi"/>
                              <w:color w:val="E36C0A" w:themeColor="accent6" w:themeShade="BF"/>
                              <w:lang w:val="es-MX"/>
                            </w:rPr>
                          </w:pPr>
                          <w:r w:rsidRPr="0072604D">
                            <w:rPr>
                              <w:rFonts w:asciiTheme="minorHAnsi" w:hAnsiTheme="minorHAnsi"/>
                              <w:color w:val="E36C0A" w:themeColor="accent6" w:themeShade="BF"/>
                              <w:lang w:val="es-MX"/>
                            </w:rPr>
                            <w:t>Que permitan, con base en la información de evaluación, establecer mejoras a la gestión de programas y al gasto público</w:t>
                          </w:r>
                        </w:p>
                      </w:txbxContent>
                    </v:textbox>
                  </v:roundrect>
                  <v:shapetype id="_x0000_t32" coordsize="21600,21600" o:spt="32" o:oned="t" path="m,l21600,21600e" filled="f">
                    <v:path arrowok="t" fillok="f" o:connecttype="none"/>
                    <o:lock v:ext="edit" shapetype="t"/>
                  </v:shapetype>
                  <v:shape id="AutoShape 24" o:spid="_x0000_s1038" type="#_x0000_t32" style="position:absolute;left:1140;top:8226;width:9465;height: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WF7wQAAANsAAAAPAAAAZHJzL2Rvd25yZXYueG1sRE9NS8NA&#10;EL0L/Q/LCN7spqWIxm6LFCo9CNLGi7chO8mGZmfD7pjEf+8Kgrd5vM/Z7mffq5Fi6gIbWC0LUMR1&#10;sB23Bj6q4/0jqCTIFvvAZOCbEux3i5stljZMfKbxIq3KIZxKNOBEhlLrVDvymJZhIM5cE6JHyTC2&#10;2kaccrjv9booHrTHjnODw4EOjurr5csb+KyqKYrrVs3rdTMeD2/v7VkaY+5u55dnUEKz/Iv/3Ceb&#10;5z/B7y/5AL37AQAA//8DAFBLAQItABQABgAIAAAAIQDb4fbL7gAAAIUBAAATAAAAAAAAAAAAAAAA&#10;AAAAAABbQ29udGVudF9UeXBlc10ueG1sUEsBAi0AFAAGAAgAAAAhAFr0LFu/AAAAFQEAAAsAAAAA&#10;AAAAAAAAAAAAHwEAAF9yZWxzLy5yZWxzUEsBAi0AFAAGAAgAAAAhACnRYXvBAAAA2wAAAA8AAAAA&#10;AAAAAAAAAAAABwIAAGRycy9kb3ducmV2LnhtbFBLBQYAAAAAAwADALcAAAD1AgAAAAA=&#10;" strokecolor="#4f81bd [3204]" strokeweight="2.25pt">
                    <v:shadow color="#868686"/>
                  </v:shape>
                </v:group>
              </v:group>
            </w:pict>
          </mc:Fallback>
        </mc:AlternateContent>
      </w:r>
    </w:p>
    <w:p w14:paraId="60C1684F" w14:textId="77777777" w:rsidR="00B66127" w:rsidRPr="006315E9" w:rsidRDefault="00B66127" w:rsidP="003C4948">
      <w:pPr>
        <w:suppressAutoHyphens/>
        <w:spacing w:after="200" w:line="276" w:lineRule="auto"/>
        <w:contextualSpacing/>
        <w:jc w:val="both"/>
        <w:rPr>
          <w:rFonts w:ascii="Azo Sans Lt" w:hAnsi="Azo Sans Lt"/>
          <w:color w:val="000000" w:themeColor="text1"/>
          <w:sz w:val="22"/>
          <w:szCs w:val="22"/>
        </w:rPr>
      </w:pPr>
    </w:p>
    <w:p w14:paraId="76CB9B27" w14:textId="77777777" w:rsidR="00D44BAD" w:rsidRPr="006315E9" w:rsidRDefault="00D44BAD" w:rsidP="003C4948">
      <w:pPr>
        <w:spacing w:line="276" w:lineRule="auto"/>
        <w:rPr>
          <w:rFonts w:ascii="Azo Sans Lt" w:hAnsi="Azo Sans Lt"/>
          <w:color w:val="000000" w:themeColor="text1"/>
          <w:sz w:val="18"/>
          <w:szCs w:val="18"/>
        </w:rPr>
      </w:pPr>
    </w:p>
    <w:p w14:paraId="7C0C1C0E" w14:textId="77777777" w:rsidR="00D44BAD" w:rsidRPr="006315E9" w:rsidRDefault="00D44BAD" w:rsidP="003C4948">
      <w:pPr>
        <w:spacing w:line="276" w:lineRule="auto"/>
        <w:rPr>
          <w:rFonts w:ascii="Azo Sans Lt" w:hAnsi="Azo Sans Lt"/>
          <w:color w:val="000000" w:themeColor="text1"/>
          <w:sz w:val="18"/>
          <w:szCs w:val="18"/>
        </w:rPr>
      </w:pPr>
    </w:p>
    <w:p w14:paraId="779D2CB5" w14:textId="77777777" w:rsidR="00D44BAD" w:rsidRPr="006315E9" w:rsidRDefault="00D44BAD" w:rsidP="003C4948">
      <w:pPr>
        <w:spacing w:line="276" w:lineRule="auto"/>
        <w:rPr>
          <w:rFonts w:ascii="Azo Sans Lt" w:hAnsi="Azo Sans Lt"/>
          <w:color w:val="000000" w:themeColor="text1"/>
          <w:sz w:val="18"/>
          <w:szCs w:val="18"/>
        </w:rPr>
      </w:pPr>
    </w:p>
    <w:p w14:paraId="63C9240C" w14:textId="77777777" w:rsidR="00D44BAD" w:rsidRPr="006315E9" w:rsidRDefault="00D44BAD" w:rsidP="003C4948">
      <w:pPr>
        <w:spacing w:line="276" w:lineRule="auto"/>
        <w:rPr>
          <w:rFonts w:ascii="Azo Sans Lt" w:hAnsi="Azo Sans Lt"/>
          <w:color w:val="000000" w:themeColor="text1"/>
          <w:sz w:val="18"/>
          <w:szCs w:val="18"/>
        </w:rPr>
      </w:pPr>
    </w:p>
    <w:p w14:paraId="3678C9C9" w14:textId="77777777" w:rsidR="00D44BAD" w:rsidRPr="006315E9" w:rsidRDefault="00D44BAD" w:rsidP="003C4948">
      <w:pPr>
        <w:spacing w:line="276" w:lineRule="auto"/>
        <w:rPr>
          <w:rFonts w:ascii="Azo Sans Lt" w:hAnsi="Azo Sans Lt"/>
          <w:color w:val="000000" w:themeColor="text1"/>
          <w:sz w:val="18"/>
          <w:szCs w:val="18"/>
        </w:rPr>
      </w:pPr>
    </w:p>
    <w:p w14:paraId="52E1ED4C" w14:textId="77777777" w:rsidR="00D44BAD" w:rsidRPr="006315E9" w:rsidRDefault="00D44BAD" w:rsidP="003C4948">
      <w:pPr>
        <w:spacing w:line="276" w:lineRule="auto"/>
        <w:rPr>
          <w:rFonts w:ascii="Azo Sans Lt" w:hAnsi="Azo Sans Lt"/>
          <w:color w:val="000000" w:themeColor="text1"/>
          <w:sz w:val="18"/>
          <w:szCs w:val="18"/>
        </w:rPr>
      </w:pPr>
    </w:p>
    <w:p w14:paraId="40596F2D" w14:textId="77777777" w:rsidR="00D44BAD" w:rsidRPr="006315E9" w:rsidRDefault="00D44BAD" w:rsidP="003C4948">
      <w:pPr>
        <w:spacing w:line="276" w:lineRule="auto"/>
        <w:rPr>
          <w:rFonts w:ascii="Azo Sans Lt" w:hAnsi="Azo Sans Lt"/>
          <w:color w:val="000000" w:themeColor="text1"/>
          <w:sz w:val="18"/>
          <w:szCs w:val="18"/>
        </w:rPr>
      </w:pPr>
    </w:p>
    <w:p w14:paraId="420AE0C6" w14:textId="77777777" w:rsidR="00D44BAD" w:rsidRPr="006315E9" w:rsidRDefault="00D44BAD" w:rsidP="003C4948">
      <w:pPr>
        <w:spacing w:line="276" w:lineRule="auto"/>
        <w:rPr>
          <w:rFonts w:ascii="Azo Sans Lt" w:hAnsi="Azo Sans Lt"/>
          <w:color w:val="000000" w:themeColor="text1"/>
          <w:sz w:val="18"/>
          <w:szCs w:val="18"/>
        </w:rPr>
      </w:pPr>
    </w:p>
    <w:p w14:paraId="365DD416" w14:textId="77777777" w:rsidR="00D44BAD" w:rsidRPr="006315E9" w:rsidRDefault="00D44BAD" w:rsidP="003C4948">
      <w:pPr>
        <w:spacing w:line="276" w:lineRule="auto"/>
        <w:rPr>
          <w:rFonts w:ascii="Azo Sans Lt" w:hAnsi="Azo Sans Lt"/>
          <w:color w:val="000000" w:themeColor="text1"/>
          <w:sz w:val="18"/>
          <w:szCs w:val="18"/>
        </w:rPr>
      </w:pPr>
    </w:p>
    <w:p w14:paraId="489E26C2" w14:textId="77777777" w:rsidR="00D44BAD" w:rsidRPr="006315E9" w:rsidRDefault="00D44BAD" w:rsidP="003C4948">
      <w:pPr>
        <w:spacing w:line="276" w:lineRule="auto"/>
        <w:rPr>
          <w:rFonts w:ascii="Azo Sans Lt" w:hAnsi="Azo Sans Lt"/>
          <w:color w:val="000000" w:themeColor="text1"/>
          <w:sz w:val="18"/>
          <w:szCs w:val="18"/>
        </w:rPr>
      </w:pPr>
    </w:p>
    <w:p w14:paraId="7641C75A" w14:textId="77777777" w:rsidR="00D44BAD" w:rsidRPr="006315E9" w:rsidRDefault="00D44BAD" w:rsidP="003C4948">
      <w:pPr>
        <w:spacing w:line="276" w:lineRule="auto"/>
        <w:rPr>
          <w:rFonts w:ascii="Azo Sans Lt" w:hAnsi="Azo Sans Lt"/>
          <w:color w:val="000000" w:themeColor="text1"/>
          <w:sz w:val="18"/>
          <w:szCs w:val="18"/>
        </w:rPr>
      </w:pPr>
    </w:p>
    <w:p w14:paraId="5489B098" w14:textId="77777777" w:rsidR="00D44BAD" w:rsidRPr="006315E9" w:rsidRDefault="00D44BAD" w:rsidP="003C4948">
      <w:pPr>
        <w:spacing w:line="276" w:lineRule="auto"/>
        <w:rPr>
          <w:rFonts w:ascii="Azo Sans Lt" w:hAnsi="Azo Sans Lt"/>
          <w:color w:val="000000" w:themeColor="text1"/>
          <w:sz w:val="18"/>
          <w:szCs w:val="18"/>
        </w:rPr>
      </w:pPr>
    </w:p>
    <w:p w14:paraId="41489C72" w14:textId="77777777" w:rsidR="00D44BAD" w:rsidRPr="006315E9" w:rsidRDefault="00D44BAD" w:rsidP="003C4948">
      <w:pPr>
        <w:spacing w:line="276" w:lineRule="auto"/>
        <w:rPr>
          <w:rFonts w:ascii="Azo Sans Lt" w:hAnsi="Azo Sans Lt"/>
          <w:color w:val="000000" w:themeColor="text1"/>
          <w:sz w:val="18"/>
          <w:szCs w:val="18"/>
        </w:rPr>
      </w:pPr>
    </w:p>
    <w:p w14:paraId="19A6AA77" w14:textId="77777777" w:rsidR="00D44BAD" w:rsidRPr="006315E9" w:rsidRDefault="00D44BAD" w:rsidP="003C4948">
      <w:pPr>
        <w:spacing w:line="276" w:lineRule="auto"/>
        <w:rPr>
          <w:rFonts w:ascii="Azo Sans Lt" w:hAnsi="Azo Sans Lt"/>
          <w:color w:val="000000" w:themeColor="text1"/>
          <w:sz w:val="18"/>
          <w:szCs w:val="18"/>
        </w:rPr>
      </w:pPr>
    </w:p>
    <w:p w14:paraId="29E66409" w14:textId="77777777" w:rsidR="00D44BAD" w:rsidRPr="006315E9" w:rsidRDefault="00D44BAD" w:rsidP="003C4948">
      <w:pPr>
        <w:spacing w:line="276" w:lineRule="auto"/>
        <w:rPr>
          <w:rFonts w:ascii="Azo Sans Lt" w:hAnsi="Azo Sans Lt"/>
          <w:color w:val="000000" w:themeColor="text1"/>
          <w:sz w:val="18"/>
          <w:szCs w:val="18"/>
        </w:rPr>
      </w:pPr>
    </w:p>
    <w:p w14:paraId="069867B8" w14:textId="77777777" w:rsidR="00D44BAD" w:rsidRPr="006315E9" w:rsidRDefault="00D44BAD" w:rsidP="003C4948">
      <w:pPr>
        <w:spacing w:line="276" w:lineRule="auto"/>
        <w:rPr>
          <w:rFonts w:ascii="Azo Sans Lt" w:hAnsi="Azo Sans Lt"/>
          <w:color w:val="000000" w:themeColor="text1"/>
          <w:sz w:val="18"/>
          <w:szCs w:val="18"/>
        </w:rPr>
      </w:pPr>
    </w:p>
    <w:p w14:paraId="1FCFA509" w14:textId="77777777" w:rsidR="0072604D" w:rsidRPr="006315E9" w:rsidRDefault="0072604D" w:rsidP="003C4948">
      <w:pPr>
        <w:spacing w:line="276" w:lineRule="auto"/>
        <w:ind w:left="567"/>
        <w:rPr>
          <w:rFonts w:ascii="Azo Sans Lt" w:hAnsi="Azo Sans Lt"/>
          <w:color w:val="000000" w:themeColor="text1"/>
          <w:sz w:val="18"/>
          <w:szCs w:val="18"/>
        </w:rPr>
      </w:pPr>
    </w:p>
    <w:p w14:paraId="7BFAFDAB" w14:textId="669F0C5C" w:rsidR="003C5E5F" w:rsidRPr="006315E9" w:rsidRDefault="003C5E5F" w:rsidP="003C4948">
      <w:pPr>
        <w:spacing w:line="276" w:lineRule="auto"/>
        <w:ind w:left="567"/>
        <w:rPr>
          <w:rFonts w:ascii="Azo Sans Lt" w:hAnsi="Azo Sans Lt"/>
          <w:color w:val="000000" w:themeColor="text1"/>
          <w:sz w:val="18"/>
          <w:szCs w:val="18"/>
        </w:rPr>
      </w:pPr>
      <w:r w:rsidRPr="006315E9">
        <w:rPr>
          <w:rFonts w:ascii="Azo Sans Lt" w:hAnsi="Azo Sans Lt"/>
          <w:color w:val="000000" w:themeColor="text1"/>
          <w:sz w:val="18"/>
          <w:szCs w:val="18"/>
        </w:rPr>
        <w:t>Fuente: Material GpR-</w:t>
      </w:r>
      <w:r w:rsidR="001727BD" w:rsidRPr="006315E9">
        <w:rPr>
          <w:rFonts w:ascii="Azo Sans Lt" w:hAnsi="Azo Sans Lt"/>
          <w:color w:val="000000" w:themeColor="text1"/>
          <w:sz w:val="18"/>
          <w:szCs w:val="18"/>
        </w:rPr>
        <w:t>PbR</w:t>
      </w:r>
      <w:r w:rsidRPr="006315E9">
        <w:rPr>
          <w:rFonts w:ascii="Azo Sans Lt" w:hAnsi="Azo Sans Lt"/>
          <w:color w:val="000000" w:themeColor="text1"/>
          <w:sz w:val="18"/>
          <w:szCs w:val="18"/>
        </w:rPr>
        <w:t>, INDETEC, 2012, elaborado con base en información PBR-SED, de la SHCP.</w:t>
      </w:r>
    </w:p>
    <w:p w14:paraId="66E27A30" w14:textId="77777777" w:rsidR="00EC704E" w:rsidRPr="006315E9" w:rsidRDefault="00EC704E" w:rsidP="003C4948">
      <w:pPr>
        <w:spacing w:after="200" w:line="276" w:lineRule="auto"/>
        <w:ind w:left="567"/>
        <w:rPr>
          <w:rFonts w:ascii="Azo Sans Lt" w:hAnsi="Azo Sans Lt"/>
          <w:color w:val="000000" w:themeColor="text1"/>
          <w:sz w:val="22"/>
          <w:szCs w:val="22"/>
        </w:rPr>
      </w:pPr>
      <w:r w:rsidRPr="006315E9">
        <w:rPr>
          <w:rFonts w:ascii="Azo Sans Lt" w:hAnsi="Azo Sans Lt"/>
          <w:color w:val="000000" w:themeColor="text1"/>
          <w:sz w:val="22"/>
          <w:szCs w:val="22"/>
        </w:rPr>
        <w:br w:type="page"/>
      </w:r>
    </w:p>
    <w:p w14:paraId="19766107" w14:textId="2CC0F71A" w:rsidR="003C5E5F" w:rsidRPr="006315E9" w:rsidRDefault="002B65D4" w:rsidP="003C4948">
      <w:pPr>
        <w:spacing w:after="120" w:line="276" w:lineRule="auto"/>
        <w:ind w:left="567"/>
        <w:rPr>
          <w:rFonts w:ascii="Azo Sans Lt" w:hAnsi="Azo Sans Lt"/>
          <w:b/>
          <w:color w:val="000000" w:themeColor="text1"/>
          <w:sz w:val="22"/>
          <w:szCs w:val="22"/>
        </w:rPr>
      </w:pPr>
      <w:r w:rsidRPr="006315E9">
        <w:rPr>
          <w:rFonts w:ascii="Azo Sans Lt" w:hAnsi="Azo Sans Lt"/>
          <w:b/>
          <w:color w:val="000000" w:themeColor="text1"/>
          <w:sz w:val="22"/>
          <w:szCs w:val="22"/>
        </w:rPr>
        <w:lastRenderedPageBreak/>
        <w:t>1.</w:t>
      </w:r>
      <w:r w:rsidR="003C5E5F" w:rsidRPr="006315E9">
        <w:rPr>
          <w:rFonts w:ascii="Azo Sans Lt" w:hAnsi="Azo Sans Lt"/>
          <w:b/>
          <w:color w:val="000000" w:themeColor="text1"/>
          <w:sz w:val="22"/>
          <w:szCs w:val="22"/>
        </w:rPr>
        <w:t>1.3</w:t>
      </w:r>
      <w:r w:rsidRPr="006315E9">
        <w:rPr>
          <w:rFonts w:ascii="Azo Sans Lt" w:hAnsi="Azo Sans Lt"/>
          <w:b/>
          <w:color w:val="000000" w:themeColor="text1"/>
          <w:sz w:val="22"/>
          <w:szCs w:val="22"/>
        </w:rPr>
        <w:t>.</w:t>
      </w:r>
      <w:r w:rsidR="003C5E5F" w:rsidRPr="006315E9">
        <w:rPr>
          <w:rFonts w:ascii="Azo Sans Lt" w:hAnsi="Azo Sans Lt"/>
          <w:b/>
          <w:color w:val="000000" w:themeColor="text1"/>
          <w:sz w:val="22"/>
          <w:szCs w:val="22"/>
        </w:rPr>
        <w:t xml:space="preserve"> A</w:t>
      </w:r>
      <w:r w:rsidR="00CB4890" w:rsidRPr="006315E9">
        <w:rPr>
          <w:rFonts w:ascii="Azo Sans Lt" w:hAnsi="Azo Sans Lt"/>
          <w:b/>
          <w:color w:val="000000" w:themeColor="text1"/>
          <w:sz w:val="22"/>
          <w:szCs w:val="22"/>
        </w:rPr>
        <w:t xml:space="preserve">spectos </w:t>
      </w:r>
      <w:r w:rsidR="00B73AF1" w:rsidRPr="006315E9">
        <w:rPr>
          <w:rFonts w:ascii="Azo Sans Lt" w:hAnsi="Azo Sans Lt"/>
          <w:b/>
          <w:color w:val="000000" w:themeColor="text1"/>
          <w:sz w:val="22"/>
          <w:szCs w:val="22"/>
        </w:rPr>
        <w:t>g</w:t>
      </w:r>
      <w:r w:rsidR="00F358DB" w:rsidRPr="006315E9">
        <w:rPr>
          <w:rFonts w:ascii="Azo Sans Lt" w:hAnsi="Azo Sans Lt"/>
          <w:b/>
          <w:color w:val="000000" w:themeColor="text1"/>
          <w:sz w:val="22"/>
          <w:szCs w:val="22"/>
        </w:rPr>
        <w:t>enerales del Proceso Presupuestario</w:t>
      </w:r>
    </w:p>
    <w:p w14:paraId="6D74F7FF" w14:textId="77777777" w:rsidR="003C5E5F" w:rsidRPr="006315E9" w:rsidRDefault="003C5E5F" w:rsidP="003C4948">
      <w:pPr>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line="276" w:lineRule="auto"/>
        <w:ind w:left="720" w:right="190"/>
        <w:jc w:val="center"/>
        <w:rPr>
          <w:rFonts w:ascii="Azo Sans Lt" w:hAnsi="Azo Sans Lt" w:cs="Tahoma"/>
          <w:b/>
          <w:color w:val="000000" w:themeColor="text1"/>
          <w:sz w:val="18"/>
        </w:rPr>
      </w:pPr>
      <w:r w:rsidRPr="006315E9">
        <w:rPr>
          <w:rFonts w:ascii="Azo Sans Lt" w:hAnsi="Azo Sans Lt" w:cs="Tahoma"/>
          <w:b/>
          <w:color w:val="000000" w:themeColor="text1"/>
          <w:sz w:val="18"/>
        </w:rPr>
        <w:t>Punto de Partida</w:t>
      </w:r>
    </w:p>
    <w:p w14:paraId="3B5AE327" w14:textId="77777777" w:rsidR="003C5E5F" w:rsidRPr="006315E9" w:rsidRDefault="003C5E5F" w:rsidP="003C4948">
      <w:pPr>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line="276" w:lineRule="auto"/>
        <w:ind w:left="720" w:right="190"/>
        <w:jc w:val="both"/>
        <w:rPr>
          <w:rFonts w:ascii="Azo Sans Lt" w:hAnsi="Azo Sans Lt" w:cs="Tahoma"/>
          <w:color w:val="000000" w:themeColor="text1"/>
          <w:sz w:val="18"/>
        </w:rPr>
      </w:pPr>
      <w:r w:rsidRPr="006315E9">
        <w:rPr>
          <w:rFonts w:ascii="Azo Sans Lt" w:hAnsi="Azo Sans Lt" w:cs="Tahoma"/>
          <w:color w:val="000000" w:themeColor="text1"/>
          <w:sz w:val="18"/>
        </w:rPr>
        <w:t>El presupuesto público del Estado de Campeche es la determinación de los gastos que el Estado puede realizar durante un año, de acuerdo a los ingresos que espera recibir, y debe ser la expresión financiera de los programas y proyectos que ejecutarán los poderes públicos (Ejecutivo, Legislativo y Judicial) para alcanzar los objetivos y resultados comprometidos.</w:t>
      </w:r>
    </w:p>
    <w:p w14:paraId="28C93034" w14:textId="77777777" w:rsidR="003C5E5F" w:rsidRPr="006315E9" w:rsidRDefault="003C5E5F" w:rsidP="003C4948">
      <w:pPr>
        <w:spacing w:line="276" w:lineRule="auto"/>
        <w:ind w:hanging="2771"/>
        <w:rPr>
          <w:rFonts w:ascii="Azo Sans Lt" w:hAnsi="Azo Sans Lt" w:cs="Tahoma"/>
          <w:b/>
          <w:color w:val="000000" w:themeColor="text1"/>
        </w:rPr>
      </w:pPr>
      <w:r w:rsidRPr="006315E9">
        <w:rPr>
          <w:rFonts w:ascii="Azo Sans Lt" w:hAnsi="Azo Sans Lt" w:cs="Tahoma"/>
          <w:color w:val="000000" w:themeColor="text1"/>
          <w:lang w:eastAsia="es-MX"/>
        </w:rPr>
        <w:t xml:space="preserve">del </w:t>
      </w:r>
    </w:p>
    <w:p w14:paraId="494AF6FC" w14:textId="70EB6BB4" w:rsidR="003C5E5F" w:rsidRPr="006315E9" w:rsidRDefault="003C5E5F" w:rsidP="003C4948">
      <w:pPr>
        <w:suppressAutoHyphens/>
        <w:spacing w:line="276" w:lineRule="auto"/>
        <w:ind w:left="709"/>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El proceso presupuestario es un sistema de reglas y procedimientos que rige la toma de decisiones en materia presupuestaria</w:t>
      </w:r>
      <w:r w:rsidRPr="006315E9">
        <w:rPr>
          <w:rFonts w:ascii="Azo Sans Lt" w:hAnsi="Azo Sans Lt"/>
          <w:noProof/>
          <w:color w:val="000000" w:themeColor="text1"/>
          <w:sz w:val="22"/>
          <w:szCs w:val="22"/>
          <w:vertAlign w:val="superscript"/>
          <w:lang w:val="es-MX"/>
        </w:rPr>
        <w:footnoteReference w:id="2"/>
      </w:r>
      <w:r w:rsidRPr="006315E9">
        <w:rPr>
          <w:rFonts w:ascii="Azo Sans Lt" w:hAnsi="Azo Sans Lt"/>
          <w:noProof/>
          <w:color w:val="000000" w:themeColor="text1"/>
          <w:sz w:val="22"/>
          <w:szCs w:val="22"/>
          <w:vertAlign w:val="superscript"/>
          <w:lang w:val="es-MX" w:eastAsia="es-MX"/>
        </w:rPr>
        <w:t>.</w:t>
      </w:r>
      <w:r w:rsidRPr="006315E9">
        <w:rPr>
          <w:rFonts w:ascii="Azo Sans Lt" w:hAnsi="Azo Sans Lt"/>
          <w:noProof/>
          <w:color w:val="000000" w:themeColor="text1"/>
          <w:sz w:val="22"/>
          <w:szCs w:val="22"/>
          <w:lang w:val="es-MX" w:eastAsia="es-MX"/>
        </w:rPr>
        <w:t xml:space="preserve"> La condición más importante que debe cumplir dicho proceso no solamente implica la formulación año con año de un presupuesto estatal que esté acorde a las necesidades de gasto de cada Dependencia y Entidad, sino que también implica dar cumplimiento a un </w:t>
      </w:r>
      <w:r w:rsidR="00CB6402" w:rsidRPr="006315E9">
        <w:rPr>
          <w:rFonts w:ascii="Azo Sans Lt" w:hAnsi="Azo Sans Lt"/>
          <w:noProof/>
          <w:color w:val="000000" w:themeColor="text1"/>
          <w:sz w:val="22"/>
          <w:szCs w:val="22"/>
          <w:lang w:val="es-MX" w:eastAsia="es-MX"/>
        </w:rPr>
        <w:t xml:space="preserve">PED </w:t>
      </w:r>
      <w:r w:rsidRPr="006315E9">
        <w:rPr>
          <w:rFonts w:ascii="Azo Sans Lt" w:hAnsi="Azo Sans Lt"/>
          <w:noProof/>
          <w:color w:val="000000" w:themeColor="text1"/>
          <w:sz w:val="22"/>
          <w:szCs w:val="22"/>
          <w:lang w:val="es-MX" w:eastAsia="es-MX"/>
        </w:rPr>
        <w:t>con base en la ejecución de programas y proyectos que identifican los objetivos, bienes y servicios y actividades a desarrollar para brindar soluciones, generar beneficios y trasformar la condiciones de vida de la sociedad.</w:t>
      </w:r>
    </w:p>
    <w:p w14:paraId="5BF1EEF2" w14:textId="77777777" w:rsidR="00785157" w:rsidRPr="006315E9" w:rsidRDefault="00785157" w:rsidP="003C4948">
      <w:pPr>
        <w:suppressAutoHyphens/>
        <w:spacing w:line="276" w:lineRule="auto"/>
        <w:ind w:left="709"/>
        <w:contextualSpacing/>
        <w:jc w:val="both"/>
        <w:rPr>
          <w:rFonts w:ascii="Azo Sans Lt" w:hAnsi="Azo Sans Lt"/>
          <w:noProof/>
          <w:color w:val="000000" w:themeColor="text1"/>
          <w:sz w:val="22"/>
          <w:szCs w:val="22"/>
          <w:lang w:val="es-MX" w:eastAsia="es-MX"/>
        </w:rPr>
      </w:pPr>
    </w:p>
    <w:p w14:paraId="6B68AC1A" w14:textId="77777777" w:rsidR="003C5E5F" w:rsidRPr="006315E9" w:rsidRDefault="003C5E5F" w:rsidP="003C4948">
      <w:pPr>
        <w:suppressAutoHyphens/>
        <w:spacing w:after="200" w:line="276" w:lineRule="auto"/>
        <w:ind w:left="709"/>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El P</w:t>
      </w:r>
      <w:r w:rsidR="00A97906" w:rsidRPr="006315E9">
        <w:rPr>
          <w:rFonts w:ascii="Azo Sans Lt" w:hAnsi="Azo Sans Lt"/>
          <w:noProof/>
          <w:color w:val="000000" w:themeColor="text1"/>
          <w:sz w:val="22"/>
          <w:szCs w:val="22"/>
          <w:lang w:val="es-MX" w:eastAsia="es-MX"/>
        </w:rPr>
        <w:t>b</w:t>
      </w:r>
      <w:r w:rsidRPr="006315E9">
        <w:rPr>
          <w:rFonts w:ascii="Azo Sans Lt" w:hAnsi="Azo Sans Lt"/>
          <w:noProof/>
          <w:color w:val="000000" w:themeColor="text1"/>
          <w:sz w:val="22"/>
          <w:szCs w:val="22"/>
          <w:lang w:val="es-MX" w:eastAsia="es-MX"/>
        </w:rPr>
        <w:t>R es una herramienta de mejora del gasto público para el logro de resultados que impacten en el bienestar de la población, aspecto que involucra a todo el ciclo presupuestal, el cual consiste en identificar, ordenar y transformar racionalmente los recursos disponibles para alcanzar resultados mediante la producción de bienes y servicios durante un año, y para ello se tienen que desarrollar las siguientes etapas:</w:t>
      </w:r>
    </w:p>
    <w:p w14:paraId="299F5AC2" w14:textId="77777777" w:rsidR="003C5E5F" w:rsidRPr="006315E9" w:rsidRDefault="0061455F" w:rsidP="003C4948">
      <w:pPr>
        <w:autoSpaceDE w:val="0"/>
        <w:autoSpaceDN w:val="0"/>
        <w:adjustRightInd w:val="0"/>
        <w:spacing w:line="276" w:lineRule="auto"/>
        <w:jc w:val="center"/>
        <w:rPr>
          <w:rFonts w:ascii="Azo Sans Lt" w:hAnsi="Azo Sans Lt" w:cs="Tahoma"/>
          <w:color w:val="000000" w:themeColor="text1"/>
          <w:sz w:val="16"/>
          <w:szCs w:val="18"/>
        </w:rPr>
      </w:pPr>
      <w:r w:rsidRPr="006315E9">
        <w:rPr>
          <w:rFonts w:ascii="Azo Sans Lt" w:hAnsi="Azo Sans Lt" w:cs="Tahoma"/>
          <w:noProof/>
          <w:color w:val="000000" w:themeColor="text1"/>
          <w:sz w:val="16"/>
          <w:szCs w:val="18"/>
          <w:lang w:val="es-ES"/>
        </w:rPr>
        <mc:AlternateContent>
          <mc:Choice Requires="wps">
            <w:drawing>
              <wp:anchor distT="0" distB="0" distL="114300" distR="114300" simplePos="0" relativeHeight="251658752" behindDoc="0" locked="0" layoutInCell="1" allowOverlap="1" wp14:anchorId="2EB14347" wp14:editId="6C3172F9">
                <wp:simplePos x="0" y="0"/>
                <wp:positionH relativeFrom="margin">
                  <wp:posOffset>2605184</wp:posOffset>
                </wp:positionH>
                <wp:positionV relativeFrom="paragraph">
                  <wp:posOffset>1271104</wp:posOffset>
                </wp:positionV>
                <wp:extent cx="847725" cy="828675"/>
                <wp:effectExtent l="57150" t="57150" r="66675" b="104775"/>
                <wp:wrapNone/>
                <wp:docPr id="673" name="Elipse 673"/>
                <wp:cNvGraphicFramePr/>
                <a:graphic xmlns:a="http://schemas.openxmlformats.org/drawingml/2006/main">
                  <a:graphicData uri="http://schemas.microsoft.com/office/word/2010/wordprocessingShape">
                    <wps:wsp>
                      <wps:cNvSpPr/>
                      <wps:spPr>
                        <a:xfrm>
                          <a:off x="0" y="0"/>
                          <a:ext cx="847725" cy="828675"/>
                        </a:xfrm>
                        <a:prstGeom prst="ellipse">
                          <a:avLst/>
                        </a:prstGeom>
                      </wps:spPr>
                      <wps:style>
                        <a:lnRef idx="3">
                          <a:schemeClr val="lt1"/>
                        </a:lnRef>
                        <a:fillRef idx="1">
                          <a:schemeClr val="accent1"/>
                        </a:fillRef>
                        <a:effectRef idx="1">
                          <a:schemeClr val="accent1"/>
                        </a:effectRef>
                        <a:fontRef idx="minor">
                          <a:schemeClr val="lt1"/>
                        </a:fontRef>
                      </wps:style>
                      <wps:txbx>
                        <w:txbxContent>
                          <w:p w14:paraId="06A718EE" w14:textId="77777777" w:rsidR="00294015" w:rsidRPr="0061455F" w:rsidRDefault="00294015" w:rsidP="0061455F">
                            <w:pPr>
                              <w:jc w:val="center"/>
                              <w:rPr>
                                <w:b/>
                                <w:lang w:val="es-MX"/>
                              </w:rPr>
                            </w:pPr>
                            <w:r w:rsidRPr="0061455F">
                              <w:rPr>
                                <w:rFonts w:asciiTheme="minorHAnsi" w:hAnsiTheme="minorHAnsi"/>
                                <w:b/>
                                <w:sz w:val="18"/>
                                <w:lang w:val="es-MX"/>
                              </w:rPr>
                              <w:t>Ciclo Presu</w:t>
                            </w:r>
                            <w:r>
                              <w:rPr>
                                <w:rFonts w:asciiTheme="minorHAnsi" w:hAnsiTheme="minorHAnsi"/>
                                <w:b/>
                                <w:sz w:val="18"/>
                                <w:lang w:val="es-MX"/>
                              </w:rPr>
                              <w:t>p</w:t>
                            </w:r>
                            <w:r w:rsidRPr="0061455F">
                              <w:rPr>
                                <w:rFonts w:asciiTheme="minorHAnsi" w:hAnsiTheme="minorHAnsi"/>
                                <w:b/>
                                <w:sz w:val="18"/>
                                <w:szCs w:val="18"/>
                                <w:lang w:val="es-MX"/>
                              </w:rPr>
                              <w:t>uestal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B14347" id="Elipse 673" o:spid="_x0000_s1039" style="position:absolute;left:0;text-align:left;margin-left:205.15pt;margin-top:100.1pt;width:66.75pt;height:65.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4VZwIAACgFAAAOAAAAZHJzL2Uyb0RvYy54bWysVN9v2yAQfp+0/wHxvjpO0yaL6lRRu06T&#10;qrZaO/WZYEiQgGNAYmd//Q7sOFWXl017sTnuvvv5HVfXrdFkJ3xQYCtano0oEZZDrey6oj9e7j7N&#10;KAmR2ZppsKKiexHo9eLjh6vGzcUYNqBr4Qk6sWHeuIpuYnTzogh8IwwLZ+CERaUEb1hE0a+L2rMG&#10;vRtdjEejy6IBXzsPXISAt7edki6yfykFj49SBhGJrijmFvPX5+8qfYvFFZuvPXMbxfs02D9kYZiy&#10;GHRwdcsiI1uv/nBlFPcQQMYzDqYAKRUXuQasphy9q+Z5w5zItWBzghvaFP6fW/6we/JE1RW9nJ5T&#10;YpnBIX3RygVB0g32p3FhjmbP7sn3UsBjKraV3qQ/lkHa3NP90FPRRsLxcjaZTscXlHBUzcazy+lF&#10;8lkcwc6H+FWAIelQUaFz8NxMtrsPsbM+WCE05dNlkE9xr0VKQtvvQmIlGPM8ozOHxI32ZMdw+jqW&#10;feRsmSBSaT2AylMgxrmwA7C3T1CRufU34AGRI4ONA9goC/5U9GPKsrM/VN/VnMqP7arN4yszl9PV&#10;Cuo9ztRDR/bg+J3C1t6zEJ+YR3bjHuDGxkf8SA1NRaE/UbIB/+vUfbJH0qGWkga3paLh55Z5QYn+&#10;ZpGOn8vJJK1XFiYX0zEK/q1m9VZjt+YGcCQlvg2O52Oyj/pwlB7MKy72MkVFFbMcY1eUR38QbmK3&#10;xfg0cLFcZjNcKcfivX12PDlPjU68eWlfmXc9vyIS8wEOm8Xm7zjW2SakheU2glSZgMe+9iPAdcws&#10;7p+OtO9v5Wx1fOAWvwEAAP//AwBQSwMEFAAGAAgAAAAhAJaek1zgAAAACwEAAA8AAABkcnMvZG93&#10;bnJldi54bWxMj8tOwzAQRfdI/IM1SOyo3aYUCHGqCglY8WhA6taJhyTCHkex26Z/z7CC5WiO7j23&#10;WE/eiQOOsQ+kYT5TIJCaYHtqNXx+PF7dgojJkDUuEGo4YYR1eX5WmNyGI23xUKVWcAjF3GjoUhpy&#10;KWPToTdxFgYk/n2F0ZvE59hKO5ojh3snF0qtpDc9cUNnBnzosPmu9l7D+26bNit3R0/V68tbfUrP&#10;jQk7rS8vps09iIRT+oPhV5/VoWSnOuzJRuE0LOcqY1QD1yxAMHG9zHhMrSHL1A3IspD/N5Q/AAAA&#10;//8DAFBLAQItABQABgAIAAAAIQC2gziS/gAAAOEBAAATAAAAAAAAAAAAAAAAAAAAAABbQ29udGVu&#10;dF9UeXBlc10ueG1sUEsBAi0AFAAGAAgAAAAhADj9If/WAAAAlAEAAAsAAAAAAAAAAAAAAAAALwEA&#10;AF9yZWxzLy5yZWxzUEsBAi0AFAAGAAgAAAAhAABHnhVnAgAAKAUAAA4AAAAAAAAAAAAAAAAALgIA&#10;AGRycy9lMm9Eb2MueG1sUEsBAi0AFAAGAAgAAAAhAJaek1zgAAAACwEAAA8AAAAAAAAAAAAAAAAA&#10;wQQAAGRycy9kb3ducmV2LnhtbFBLBQYAAAAABAAEAPMAAADOBQAAAAA=&#10;" fillcolor="#4f81bd [3204]" strokecolor="white [3201]" strokeweight="3pt">
                <v:shadow on="t" color="black" opacity="24903f" origin=",.5" offset="0,.55556mm"/>
                <v:textbox>
                  <w:txbxContent>
                    <w:p w14:paraId="06A718EE" w14:textId="77777777" w:rsidR="00294015" w:rsidRPr="0061455F" w:rsidRDefault="00294015" w:rsidP="0061455F">
                      <w:pPr>
                        <w:jc w:val="center"/>
                        <w:rPr>
                          <w:b/>
                          <w:lang w:val="es-MX"/>
                        </w:rPr>
                      </w:pPr>
                      <w:r w:rsidRPr="0061455F">
                        <w:rPr>
                          <w:rFonts w:asciiTheme="minorHAnsi" w:hAnsiTheme="minorHAnsi"/>
                          <w:b/>
                          <w:sz w:val="18"/>
                          <w:lang w:val="es-MX"/>
                        </w:rPr>
                        <w:t>Ciclo Presu</w:t>
                      </w:r>
                      <w:r>
                        <w:rPr>
                          <w:rFonts w:asciiTheme="minorHAnsi" w:hAnsiTheme="minorHAnsi"/>
                          <w:b/>
                          <w:sz w:val="18"/>
                          <w:lang w:val="es-MX"/>
                        </w:rPr>
                        <w:t>p</w:t>
                      </w:r>
                      <w:r w:rsidRPr="0061455F">
                        <w:rPr>
                          <w:rFonts w:asciiTheme="minorHAnsi" w:hAnsiTheme="minorHAnsi"/>
                          <w:b/>
                          <w:sz w:val="18"/>
                          <w:szCs w:val="18"/>
                          <w:lang w:val="es-MX"/>
                        </w:rPr>
                        <w:t>uestal</w:t>
                      </w:r>
                    </w:p>
                  </w:txbxContent>
                </v:textbox>
                <w10:wrap anchorx="margin"/>
              </v:oval>
            </w:pict>
          </mc:Fallback>
        </mc:AlternateContent>
      </w:r>
      <w:r w:rsidRPr="006315E9">
        <w:rPr>
          <w:rFonts w:ascii="Azo Sans Lt" w:hAnsi="Azo Sans Lt" w:cs="Tahoma"/>
          <w:noProof/>
          <w:color w:val="000000" w:themeColor="text1"/>
          <w:sz w:val="16"/>
          <w:szCs w:val="18"/>
          <w:lang w:val="es-ES"/>
        </w:rPr>
        <w:drawing>
          <wp:inline distT="0" distB="0" distL="0" distR="0" wp14:anchorId="72229091" wp14:editId="5CF25515">
            <wp:extent cx="4887685" cy="3276600"/>
            <wp:effectExtent l="0" t="0" r="0" b="19050"/>
            <wp:docPr id="672" name="Diagrama 6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1697AF3" w14:textId="77777777" w:rsidR="00984700" w:rsidRPr="006315E9" w:rsidRDefault="00984700" w:rsidP="003C4948">
      <w:pPr>
        <w:autoSpaceDE w:val="0"/>
        <w:autoSpaceDN w:val="0"/>
        <w:adjustRightInd w:val="0"/>
        <w:spacing w:line="276" w:lineRule="auto"/>
        <w:jc w:val="center"/>
        <w:rPr>
          <w:rFonts w:ascii="Azo Sans Lt" w:hAnsi="Azo Sans Lt" w:cs="Tahoma"/>
          <w:color w:val="000000" w:themeColor="text1"/>
          <w:sz w:val="16"/>
          <w:szCs w:val="18"/>
        </w:rPr>
      </w:pPr>
    </w:p>
    <w:p w14:paraId="269E9824" w14:textId="77777777" w:rsidR="00B55ED1" w:rsidRPr="006315E9" w:rsidRDefault="0061455F" w:rsidP="003C4948">
      <w:pPr>
        <w:autoSpaceDE w:val="0"/>
        <w:autoSpaceDN w:val="0"/>
        <w:adjustRightInd w:val="0"/>
        <w:spacing w:line="276" w:lineRule="auto"/>
        <w:jc w:val="center"/>
        <w:rPr>
          <w:rFonts w:ascii="Azo Sans Lt" w:hAnsi="Azo Sans Lt" w:cs="Tahoma"/>
          <w:color w:val="000000" w:themeColor="text1"/>
          <w:sz w:val="16"/>
          <w:szCs w:val="18"/>
        </w:rPr>
      </w:pPr>
      <w:r w:rsidRPr="006315E9">
        <w:rPr>
          <w:rFonts w:ascii="Azo Sans Lt" w:hAnsi="Azo Sans Lt" w:cs="Tahoma"/>
          <w:color w:val="000000" w:themeColor="text1"/>
          <w:sz w:val="16"/>
          <w:szCs w:val="18"/>
        </w:rPr>
        <w:t>Fuente: Material GpR-PBR, INDETEC, 2012.</w:t>
      </w:r>
      <w:r w:rsidR="00B55ED1" w:rsidRPr="006315E9">
        <w:rPr>
          <w:rFonts w:ascii="Azo Sans Lt" w:hAnsi="Azo Sans Lt" w:cs="Tahoma"/>
          <w:color w:val="000000" w:themeColor="text1"/>
          <w:sz w:val="16"/>
          <w:szCs w:val="18"/>
        </w:rPr>
        <w:br w:type="page"/>
      </w:r>
    </w:p>
    <w:p w14:paraId="74FBBB79" w14:textId="77777777" w:rsidR="003C5E5F" w:rsidRPr="006315E9" w:rsidRDefault="003C5E5F" w:rsidP="003C494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lastRenderedPageBreak/>
        <w:t>A. Planeación</w:t>
      </w:r>
    </w:p>
    <w:p w14:paraId="78540FA8"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Planeación es un ejercicio deliberativo de formulación y establecimiento de objetivos estratégicos y metas que son de carácter prioritario para la acción pública en cumplimiento de sus atribuciones y en atención a las demandas y necesidades de la sociedad. Su característica principal es el establecimiento de los cursos de acción y estrategias para alcanzar dichos objetivos, lo que hace que esta etapa presupuestal sea una herramienta clave para la toma de decisiones de las instituciones públicas.</w:t>
      </w:r>
    </w:p>
    <w:p w14:paraId="4BE9A63A"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5D9AE532" w14:textId="43F4623B"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En el enfoque a resultados</w:t>
      </w:r>
      <w:r w:rsidR="00FA3F7D" w:rsidRPr="006315E9">
        <w:rPr>
          <w:rFonts w:ascii="Azo Sans Lt" w:hAnsi="Azo Sans Lt"/>
          <w:noProof/>
          <w:color w:val="000000" w:themeColor="text1"/>
          <w:sz w:val="22"/>
          <w:szCs w:val="22"/>
          <w:lang w:val="es-MX" w:eastAsia="es-MX"/>
        </w:rPr>
        <w:t>,</w:t>
      </w:r>
      <w:r w:rsidRPr="006315E9">
        <w:rPr>
          <w:rFonts w:ascii="Azo Sans Lt" w:hAnsi="Azo Sans Lt"/>
          <w:noProof/>
          <w:color w:val="000000" w:themeColor="text1"/>
          <w:sz w:val="22"/>
          <w:szCs w:val="22"/>
          <w:lang w:val="es-MX" w:eastAsia="es-MX"/>
        </w:rPr>
        <w:t xml:space="preserve"> la Planeación se identifica en dos niveles: la Planeación del Desarrollo y la Planeación Estratégica. En la primera se plasman los grandes retos y desafíos del estado y los objetivos que se pretenden alcanzar para trasformar la condición de la sociedad y líneas de acción que orientarán el rumbo de la función pública. En el caso de</w:t>
      </w:r>
      <w:r w:rsidR="006D453C" w:rsidRPr="006315E9">
        <w:rPr>
          <w:rFonts w:ascii="Azo Sans Lt" w:hAnsi="Azo Sans Lt"/>
          <w:noProof/>
          <w:color w:val="000000" w:themeColor="text1"/>
          <w:sz w:val="22"/>
          <w:szCs w:val="22"/>
          <w:lang w:val="es-MX" w:eastAsia="es-MX"/>
        </w:rPr>
        <w:t>l Estado de</w:t>
      </w:r>
      <w:r w:rsidRPr="006315E9">
        <w:rPr>
          <w:rFonts w:ascii="Azo Sans Lt" w:hAnsi="Azo Sans Lt"/>
          <w:noProof/>
          <w:color w:val="000000" w:themeColor="text1"/>
          <w:sz w:val="22"/>
          <w:szCs w:val="22"/>
          <w:lang w:val="es-MX" w:eastAsia="es-MX"/>
        </w:rPr>
        <w:t xml:space="preserve"> Campeche, esto queda consignado en el PED.</w:t>
      </w:r>
    </w:p>
    <w:p w14:paraId="1A579F1C"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2E7FB6E3" w14:textId="35763EF0"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 xml:space="preserve">Por su parte, </w:t>
      </w:r>
      <w:r w:rsidR="00FA3F7D" w:rsidRPr="006315E9">
        <w:rPr>
          <w:rFonts w:ascii="Azo Sans Lt" w:hAnsi="Azo Sans Lt"/>
          <w:noProof/>
          <w:color w:val="000000" w:themeColor="text1"/>
          <w:sz w:val="22"/>
          <w:szCs w:val="22"/>
          <w:lang w:val="es-MX" w:eastAsia="es-MX"/>
        </w:rPr>
        <w:t>“</w:t>
      </w:r>
      <w:r w:rsidRPr="006315E9">
        <w:rPr>
          <w:rFonts w:ascii="Azo Sans Lt" w:hAnsi="Azo Sans Lt"/>
          <w:noProof/>
          <w:color w:val="000000" w:themeColor="text1"/>
          <w:sz w:val="22"/>
          <w:szCs w:val="22"/>
          <w:lang w:val="es-MX" w:eastAsia="es-MX"/>
        </w:rPr>
        <w:t>la Planificación Estratégica es una herramienta de gestión que permite apoyar la toma de decisiones de las organizaciones en torno al quehacer actual y al camino que deben recorrer en el futuro para adecuarse a los cambios y a las demandas que les impone el entorno y lograr la mayor eficiencia, eficacia y calidad en los bienes y servicios que se proveen”.</w:t>
      </w:r>
      <w:r w:rsidRPr="006315E9">
        <w:rPr>
          <w:rFonts w:ascii="Azo Sans Lt" w:hAnsi="Azo Sans Lt"/>
          <w:noProof/>
          <w:color w:val="000000" w:themeColor="text1"/>
          <w:sz w:val="22"/>
          <w:szCs w:val="22"/>
          <w:vertAlign w:val="superscript"/>
          <w:lang w:val="es-MX" w:eastAsia="es-MX"/>
        </w:rPr>
        <w:footnoteReference w:id="3"/>
      </w:r>
    </w:p>
    <w:p w14:paraId="7497E167"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01AF1C71" w14:textId="77777777" w:rsidR="003C5E5F" w:rsidRPr="006315E9" w:rsidRDefault="003C5E5F" w:rsidP="003C494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B. Programación</w:t>
      </w:r>
    </w:p>
    <w:p w14:paraId="35E2BD72"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Programación Presupuestaria se realiza todos los años con el propósito de definir detalladamente cada uno de los elementos y componentes de la actividad gubernamental. Se trata de una etapa donde las Dependencias y Entidades contemplan los objetivos de cada Pp, los bienes y servicios que se van a producir para beneficio de los ciudadanos, los procesos y actividades a desarrollar para la producción de bienes y servicios, y los medios para medir y poder evaluar el cumplimiento de los Pp</w:t>
      </w:r>
      <w:r w:rsidR="00CB6402" w:rsidRPr="006315E9">
        <w:rPr>
          <w:rFonts w:ascii="Azo Sans Lt" w:hAnsi="Azo Sans Lt"/>
          <w:noProof/>
          <w:color w:val="000000" w:themeColor="text1"/>
          <w:sz w:val="22"/>
          <w:szCs w:val="22"/>
          <w:lang w:val="es-MX" w:eastAsia="es-MX"/>
        </w:rPr>
        <w:t xml:space="preserve"> </w:t>
      </w:r>
      <w:r w:rsidRPr="006315E9">
        <w:rPr>
          <w:rFonts w:ascii="Azo Sans Lt" w:hAnsi="Azo Sans Lt"/>
          <w:noProof/>
          <w:color w:val="000000" w:themeColor="text1"/>
          <w:sz w:val="22"/>
          <w:szCs w:val="22"/>
          <w:lang w:val="es-MX" w:eastAsia="es-MX"/>
        </w:rPr>
        <w:t>bajo criterios de eficiencia, eficacia, economía, transparencia y honradez.</w:t>
      </w:r>
    </w:p>
    <w:p w14:paraId="1A6527CE" w14:textId="77777777" w:rsidR="00CB4890" w:rsidRPr="006315E9" w:rsidRDefault="00CB4890" w:rsidP="003C4948">
      <w:pPr>
        <w:suppressAutoHyphens/>
        <w:spacing w:line="276" w:lineRule="auto"/>
        <w:contextualSpacing/>
        <w:jc w:val="both"/>
        <w:rPr>
          <w:rFonts w:ascii="Azo Sans Lt" w:hAnsi="Azo Sans Lt"/>
          <w:noProof/>
          <w:color w:val="000000" w:themeColor="text1"/>
          <w:sz w:val="22"/>
          <w:szCs w:val="22"/>
          <w:lang w:val="es-MX" w:eastAsia="es-MX"/>
        </w:rPr>
      </w:pPr>
    </w:p>
    <w:p w14:paraId="35B4C64E" w14:textId="77777777" w:rsidR="003C5E5F" w:rsidRPr="006315E9" w:rsidRDefault="003C5E5F" w:rsidP="003C4948">
      <w:pPr>
        <w:suppressAutoHyphens/>
        <w:spacing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El elemento articulador del proceso de implementación del P</w:t>
      </w:r>
      <w:r w:rsidR="00DE3FE9" w:rsidRPr="006315E9">
        <w:rPr>
          <w:rFonts w:ascii="Azo Sans Lt" w:hAnsi="Azo Sans Lt"/>
          <w:noProof/>
          <w:color w:val="000000" w:themeColor="text1"/>
          <w:sz w:val="22"/>
          <w:szCs w:val="22"/>
          <w:lang w:val="es-MX" w:eastAsia="es-MX"/>
        </w:rPr>
        <w:t>b</w:t>
      </w:r>
      <w:r w:rsidRPr="006315E9">
        <w:rPr>
          <w:rFonts w:ascii="Azo Sans Lt" w:hAnsi="Azo Sans Lt"/>
          <w:noProof/>
          <w:color w:val="000000" w:themeColor="text1"/>
          <w:sz w:val="22"/>
          <w:szCs w:val="22"/>
          <w:lang w:val="es-MX" w:eastAsia="es-MX"/>
        </w:rPr>
        <w:t>R, en correspondencia con el modelo de gestión pública para el Estado de Campeche, es entonces el “Diseño de los Pp en cada Dependencia y Entidad”, el cual debe permitir entre otros aspectos:</w:t>
      </w:r>
    </w:p>
    <w:p w14:paraId="73286836" w14:textId="77777777" w:rsidR="00367335" w:rsidRPr="006315E9" w:rsidRDefault="00367335" w:rsidP="003C4948">
      <w:pPr>
        <w:suppressAutoHyphens/>
        <w:spacing w:line="276" w:lineRule="auto"/>
        <w:contextualSpacing/>
        <w:jc w:val="both"/>
        <w:rPr>
          <w:rFonts w:ascii="Azo Sans Lt" w:hAnsi="Azo Sans Lt"/>
          <w:noProof/>
          <w:color w:val="000000" w:themeColor="text1"/>
          <w:sz w:val="22"/>
          <w:szCs w:val="22"/>
          <w:lang w:val="es-MX" w:eastAsia="es-MX"/>
        </w:rPr>
      </w:pPr>
    </w:p>
    <w:p w14:paraId="7032E390"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Articular el proceso de planeación de desarrollo del Estado de Campeche.</w:t>
      </w:r>
    </w:p>
    <w:p w14:paraId="6B510691"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Considerar la planeación estratégica de las instituciones.</w:t>
      </w:r>
    </w:p>
    <w:p w14:paraId="1E75E13D"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Vincular la programación con la planeación y la asignación de recursos (Alineación Planeación-Programación-Presupuesto).</w:t>
      </w:r>
    </w:p>
    <w:p w14:paraId="2B4E9EAE"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Identificar con claridad los bienes y servicios que se producirán para generar valor público.</w:t>
      </w:r>
    </w:p>
    <w:p w14:paraId="022A3190"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Identificar con claridad quienes serán los beneficiarios de los Pp.</w:t>
      </w:r>
    </w:p>
    <w:p w14:paraId="27BC0534"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lastRenderedPageBreak/>
        <w:t>Que la ejecución de recursos se oriente a la solución de problemas públicos y al cumplimiento de objetivos estratégicos y de gestión.</w:t>
      </w:r>
    </w:p>
    <w:p w14:paraId="732075F4"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Un eficaz control, seguimiento y evaluación de los objetivos y la gestión de cada Pp.</w:t>
      </w:r>
    </w:p>
    <w:p w14:paraId="3F5A0F39" w14:textId="77777777" w:rsidR="003C5E5F" w:rsidRPr="006315E9" w:rsidRDefault="003C5E5F" w:rsidP="003C4948">
      <w:pPr>
        <w:numPr>
          <w:ilvl w:val="0"/>
          <w:numId w:val="2"/>
        </w:numPr>
        <w:tabs>
          <w:tab w:val="clear" w:pos="2520"/>
        </w:tabs>
        <w:suppressAutoHyphens/>
        <w:spacing w:after="60" w:line="276" w:lineRule="auto"/>
        <w:ind w:left="900"/>
        <w:jc w:val="both"/>
        <w:rPr>
          <w:rFonts w:ascii="Azo Sans Lt" w:hAnsi="Azo Sans Lt"/>
          <w:bCs/>
          <w:color w:val="000000" w:themeColor="text1"/>
          <w:spacing w:val="-2"/>
          <w:sz w:val="22"/>
          <w:szCs w:val="22"/>
        </w:rPr>
      </w:pPr>
      <w:r w:rsidRPr="006315E9">
        <w:rPr>
          <w:rFonts w:ascii="Azo Sans Lt" w:hAnsi="Azo Sans Lt"/>
          <w:bCs/>
          <w:color w:val="000000" w:themeColor="text1"/>
          <w:spacing w:val="-2"/>
          <w:sz w:val="22"/>
          <w:szCs w:val="22"/>
        </w:rPr>
        <w:t>Ordenar información sobre el quehacer gubernamental (procedimientos y productos) y los resultados (beneficios e impactos) que se pretenden alcanzar con sus Pp.</w:t>
      </w:r>
    </w:p>
    <w:p w14:paraId="7D06C1AA" w14:textId="77777777" w:rsidR="008D394B" w:rsidRPr="006315E9" w:rsidRDefault="00B55ED1" w:rsidP="003C4948">
      <w:pPr>
        <w:suppressAutoHyphens/>
        <w:spacing w:after="200" w:line="276" w:lineRule="auto"/>
        <w:contextualSpacing/>
        <w:jc w:val="both"/>
        <w:rPr>
          <w:rFonts w:ascii="Azo Sans Lt" w:hAnsi="Azo Sans Lt"/>
          <w:b/>
          <w:color w:val="000000" w:themeColor="text1"/>
          <w:sz w:val="22"/>
          <w:szCs w:val="22"/>
        </w:rPr>
      </w:pPr>
      <w:r w:rsidRPr="006315E9">
        <w:rPr>
          <w:rFonts w:ascii="Azo Sans Lt" w:hAnsi="Azo Sans Lt" w:cs="Tahoma"/>
          <w:noProof/>
          <w:color w:val="000000" w:themeColor="text1"/>
          <w:lang w:val="es-ES"/>
        </w:rPr>
        <mc:AlternateContent>
          <mc:Choice Requires="wps">
            <w:drawing>
              <wp:anchor distT="0" distB="0" distL="114300" distR="114300" simplePos="0" relativeHeight="251655680" behindDoc="1" locked="0" layoutInCell="1" allowOverlap="1" wp14:anchorId="2DC7637D" wp14:editId="55406E80">
                <wp:simplePos x="0" y="0"/>
                <wp:positionH relativeFrom="column">
                  <wp:posOffset>173990</wp:posOffset>
                </wp:positionH>
                <wp:positionV relativeFrom="paragraph">
                  <wp:posOffset>146685</wp:posOffset>
                </wp:positionV>
                <wp:extent cx="5770245" cy="2174240"/>
                <wp:effectExtent l="0" t="0" r="20955" b="16510"/>
                <wp:wrapTight wrapText="bothSides">
                  <wp:wrapPolygon edited="0">
                    <wp:start x="856" y="0"/>
                    <wp:lineTo x="0" y="1136"/>
                    <wp:lineTo x="0" y="19682"/>
                    <wp:lineTo x="499" y="21196"/>
                    <wp:lineTo x="784" y="21575"/>
                    <wp:lineTo x="20823" y="21575"/>
                    <wp:lineTo x="21108" y="21196"/>
                    <wp:lineTo x="21607" y="19871"/>
                    <wp:lineTo x="21607" y="1136"/>
                    <wp:lineTo x="20751" y="0"/>
                    <wp:lineTo x="856" y="0"/>
                  </wp:wrapPolygon>
                </wp:wrapTight>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2174240"/>
                        </a:xfrm>
                        <a:prstGeom prst="roundRect">
                          <a:avLst>
                            <a:gd name="adj" fmla="val 16667"/>
                          </a:avLst>
                        </a:prstGeom>
                        <a:solidFill>
                          <a:srgbClr val="FBF993"/>
                        </a:solidFill>
                        <a:ln w="9525">
                          <a:solidFill>
                            <a:srgbClr val="000000"/>
                          </a:solidFill>
                          <a:round/>
                          <a:headEnd/>
                          <a:tailEnd/>
                        </a:ln>
                      </wps:spPr>
                      <wps:txbx>
                        <w:txbxContent>
                          <w:p w14:paraId="25B9FE09" w14:textId="77777777" w:rsidR="00294015" w:rsidRPr="008D394B" w:rsidRDefault="00294015" w:rsidP="003C5E5F">
                            <w:pPr>
                              <w:jc w:val="both"/>
                              <w:rPr>
                                <w:rFonts w:ascii="Times New Roman" w:hAnsi="Times New Roman"/>
                              </w:rPr>
                            </w:pPr>
                            <w:r w:rsidRPr="008D394B">
                              <w:rPr>
                                <w:rFonts w:ascii="Times New Roman" w:hAnsi="Times New Roman"/>
                              </w:rPr>
                              <w:t xml:space="preserve">Un </w:t>
                            </w:r>
                            <w:r w:rsidRPr="008D394B">
                              <w:rPr>
                                <w:rFonts w:ascii="Times New Roman" w:hAnsi="Times New Roman"/>
                                <w:b/>
                              </w:rPr>
                              <w:t>programa presupuestario</w:t>
                            </w:r>
                            <w:r>
                              <w:rPr>
                                <w:rFonts w:ascii="Times New Roman" w:hAnsi="Times New Roman"/>
                              </w:rPr>
                              <w:t xml:space="preserve"> generalm</w:t>
                            </w:r>
                            <w:r w:rsidRPr="008D394B">
                              <w:rPr>
                                <w:rFonts w:ascii="Times New Roman" w:hAnsi="Times New Roman"/>
                              </w:rPr>
                              <w:t>ente es la estrategia y oferta de solución a un problema que aqueja a la población. Debe contener información que permita identificar, entre otros:</w:t>
                            </w:r>
                          </w:p>
                          <w:p w14:paraId="6B536F5E"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rPr>
                              <w:t>s</w:t>
                            </w:r>
                            <w:r w:rsidRPr="008D394B">
                              <w:rPr>
                                <w:rFonts w:ascii="Times New Roman" w:hAnsi="Times New Roman"/>
                                <w:i/>
                              </w:rPr>
                              <w:t>aber quién gasta</w:t>
                            </w:r>
                          </w:p>
                          <w:p w14:paraId="7AE449A7"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para qué se gasta</w:t>
                            </w:r>
                          </w:p>
                          <w:p w14:paraId="22EA8A13"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cuál es el beneficio del programa</w:t>
                            </w:r>
                          </w:p>
                          <w:p w14:paraId="1ABFBEDD"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quiénes son los beneficiarios</w:t>
                            </w:r>
                          </w:p>
                          <w:p w14:paraId="4909F475" w14:textId="77777777" w:rsidR="00294015" w:rsidRPr="00345A06" w:rsidRDefault="00294015" w:rsidP="00044538">
                            <w:pPr>
                              <w:pStyle w:val="Prrafodelista"/>
                              <w:numPr>
                                <w:ilvl w:val="0"/>
                                <w:numId w:val="5"/>
                              </w:numPr>
                              <w:ind w:left="0" w:hanging="270"/>
                              <w:jc w:val="both"/>
                              <w:rPr>
                                <w:rFonts w:ascii="Times New Roman" w:hAnsi="Times New Roman"/>
                                <w:i/>
                                <w:color w:val="000000" w:themeColor="text1"/>
                              </w:rPr>
                            </w:pPr>
                            <w:r w:rsidRPr="008D394B">
                              <w:rPr>
                                <w:rFonts w:ascii="Times New Roman" w:hAnsi="Times New Roman"/>
                                <w:i/>
                              </w:rPr>
                              <w:t>qué impacto genera en la población este beneficio.</w:t>
                            </w:r>
                          </w:p>
                          <w:p w14:paraId="1DF413FB" w14:textId="77777777" w:rsidR="00294015" w:rsidRPr="00345A06" w:rsidRDefault="00294015" w:rsidP="003C5E5F">
                            <w:pPr>
                              <w:jc w:val="both"/>
                              <w:rPr>
                                <w:rFonts w:ascii="Times New Roman" w:hAnsi="Times New Roman"/>
                                <w:i/>
                                <w:color w:val="000000" w:themeColor="text1"/>
                              </w:rPr>
                            </w:pPr>
                          </w:p>
                          <w:p w14:paraId="37AF581B" w14:textId="5B6B694B" w:rsidR="00294015" w:rsidRPr="00345A06" w:rsidRDefault="00294015" w:rsidP="003C5E5F">
                            <w:pPr>
                              <w:jc w:val="both"/>
                              <w:rPr>
                                <w:rFonts w:ascii="Times New Roman" w:hAnsi="Times New Roman"/>
                                <w:color w:val="000000" w:themeColor="text1"/>
                              </w:rPr>
                            </w:pPr>
                            <w:r w:rsidRPr="00345A06">
                              <w:rPr>
                                <w:rFonts w:ascii="Times New Roman" w:hAnsi="Times New Roman"/>
                                <w:color w:val="000000" w:themeColor="text1"/>
                              </w:rPr>
                              <w:t>En los Anexos de este manual, en el apartado de “Catálogos”</w:t>
                            </w:r>
                            <w:r w:rsidR="00A42FA1" w:rsidRPr="00345A06">
                              <w:rPr>
                                <w:rFonts w:ascii="Times New Roman" w:hAnsi="Times New Roman"/>
                                <w:color w:val="000000" w:themeColor="text1"/>
                              </w:rPr>
                              <w:t xml:space="preserve"> espec</w:t>
                            </w:r>
                            <w:r w:rsidR="00352BC0" w:rsidRPr="00345A06">
                              <w:rPr>
                                <w:rFonts w:ascii="Times New Roman" w:hAnsi="Times New Roman"/>
                                <w:color w:val="000000" w:themeColor="text1"/>
                              </w:rPr>
                              <w:t xml:space="preserve">íficamente en el </w:t>
                            </w:r>
                            <w:r w:rsidR="00A42FA1" w:rsidRPr="00345A06">
                              <w:rPr>
                                <w:rFonts w:ascii="Times New Roman" w:hAnsi="Times New Roman"/>
                                <w:color w:val="000000" w:themeColor="text1"/>
                              </w:rPr>
                              <w:t>“Catálogo de Modalidad”</w:t>
                            </w:r>
                            <w:r w:rsidRPr="00345A06">
                              <w:rPr>
                                <w:rFonts w:ascii="Times New Roman" w:hAnsi="Times New Roman"/>
                                <w:color w:val="000000" w:themeColor="text1"/>
                              </w:rPr>
                              <w:t>, se encuentra la clasificación de los Pp de acuerdo al Consejo Nacional de Armonización Contable (en lo sucesivo CONAC).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C7637D" id="Rectángulo redondeado 4" o:spid="_x0000_s1040" style="position:absolute;left:0;text-align:left;margin-left:13.7pt;margin-top:11.55pt;width:454.35pt;height:171.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qGSwIAAIEEAAAOAAAAZHJzL2Uyb0RvYy54bWysVFGO0zAQ/UfiDpb/2TQhbWm06WrZpQhp&#10;gRULB3BtJzE4njB2m5bbcBYuxsRpSxf4QvTDmsnMPM+85+nl1a61bKvRG3AlTy8mnGknQRlXl/zT&#10;x9WzF5z5IJwSFpwu+V57frV8+uSy7wqdQQNWaWQE4nzRdyVvQuiKJPGy0a3wF9BpR8EKsBWBXKwT&#10;haIn9NYm2WQyS3pA1SFI7T19vR2DfBnxq0rL8L6qvA7Mlpx6C/HEeK6HM1leiqJG0TVGHtoQ/9BF&#10;K4yjS09QtyIItkHzB1RrJIKHKlxIaBOoKiN1nIGmSSe/TfPQiE7HWYgc351o8v8PVr7b3iMzquQ5&#10;Z060JNEHIu3Hd1dvLDDUCpzSQgHLB676zhdU8tDd4zCt7+5AfvHMwU0jXK2vEaFvKJ06TIf85FHB&#10;4HgqZev+LSi6SmwCRNp2FbYDIBHCdlGd/UkdvQtM0sfpfD7J8ilnkmJZOs+zPOqXiOJY3qEPrzW0&#10;bDBKjrBxahgn3iG2dz5EjdRhUqE+c1a1lhTfCsvS2Ww2j12L4pBM2EfMOC9Yo1bG2uhgvb6xyKi0&#10;5KuXq8Xi+aHYn6dZx/qSL6bZNHbxKObPISbx9zeIOEd8qQO3r5yKdhDGjjZ1ad2B7IHfUaewW++i&#10;smmUYiB/DWpP9COMe0B7S0YD+I2znnag5P7rRqDmzL5xJOEizYliFqKTT+cZOXgeWZ9HhJMEVfLA&#10;2WjehHHRNh2auqGb0siAg2uSvTLh+D7Grg790zsn69Einfsx69c/x/InAAAA//8DAFBLAwQUAAYA&#10;CAAAACEAPOVHs+AAAAAJAQAADwAAAGRycy9kb3ducmV2LnhtbEyPQU+DQBCF7yb+h82YeLNLwWJF&#10;lsbYGI3xIq3G48KOQGRnkV1a/PeOJz3NTN7Lm+/lm9n24oCj7xwpWC4iEEi1Mx01Cva7+4s1CB80&#10;Gd07QgXf6GFTnJ7kOjPuSC94KEMjOIR8phW0IQyZlL5u0Wq/cAMSax9utDrwOTbSjPrI4baXcRSl&#10;0uqO+EOrB7xrsf4sJ6ugrOZtXL++Te/m8ekrjbdr1z48K3V+Nt/egAg4hz8z/OIzOhTMVLmJjBe9&#10;gvjqkp08kyUI1q+TlJdKQZKuViCLXP5vUPwAAAD//wMAUEsBAi0AFAAGAAgAAAAhALaDOJL+AAAA&#10;4QEAABMAAAAAAAAAAAAAAAAAAAAAAFtDb250ZW50X1R5cGVzXS54bWxQSwECLQAUAAYACAAAACEA&#10;OP0h/9YAAACUAQAACwAAAAAAAAAAAAAAAAAvAQAAX3JlbHMvLnJlbHNQSwECLQAUAAYACAAAACEA&#10;voWqhksCAACBBAAADgAAAAAAAAAAAAAAAAAuAgAAZHJzL2Uyb0RvYy54bWxQSwECLQAUAAYACAAA&#10;ACEAPOVHs+AAAAAJAQAADwAAAAAAAAAAAAAAAAClBAAAZHJzL2Rvd25yZXYueG1sUEsFBgAAAAAE&#10;AAQA8wAAALIFAAAAAA==&#10;" fillcolor="#fbf993">
                <v:textbox>
                  <w:txbxContent>
                    <w:p w14:paraId="25B9FE09" w14:textId="77777777" w:rsidR="00294015" w:rsidRPr="008D394B" w:rsidRDefault="00294015" w:rsidP="003C5E5F">
                      <w:pPr>
                        <w:jc w:val="both"/>
                        <w:rPr>
                          <w:rFonts w:ascii="Times New Roman" w:hAnsi="Times New Roman"/>
                        </w:rPr>
                      </w:pPr>
                      <w:r w:rsidRPr="008D394B">
                        <w:rPr>
                          <w:rFonts w:ascii="Times New Roman" w:hAnsi="Times New Roman"/>
                        </w:rPr>
                        <w:t xml:space="preserve">Un </w:t>
                      </w:r>
                      <w:r w:rsidRPr="008D394B">
                        <w:rPr>
                          <w:rFonts w:ascii="Times New Roman" w:hAnsi="Times New Roman"/>
                          <w:b/>
                        </w:rPr>
                        <w:t>programa presupuestario</w:t>
                      </w:r>
                      <w:r>
                        <w:rPr>
                          <w:rFonts w:ascii="Times New Roman" w:hAnsi="Times New Roman"/>
                        </w:rPr>
                        <w:t xml:space="preserve"> generalm</w:t>
                      </w:r>
                      <w:r w:rsidRPr="008D394B">
                        <w:rPr>
                          <w:rFonts w:ascii="Times New Roman" w:hAnsi="Times New Roman"/>
                        </w:rPr>
                        <w:t>ente es la estrategia y oferta de solución a un problema que aqueja a la población. Debe contener información que permita identificar, entre otros:</w:t>
                      </w:r>
                    </w:p>
                    <w:p w14:paraId="6B536F5E"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rPr>
                        <w:t>s</w:t>
                      </w:r>
                      <w:r w:rsidRPr="008D394B">
                        <w:rPr>
                          <w:rFonts w:ascii="Times New Roman" w:hAnsi="Times New Roman"/>
                          <w:i/>
                        </w:rPr>
                        <w:t>aber quién gasta</w:t>
                      </w:r>
                    </w:p>
                    <w:p w14:paraId="7AE449A7"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para qué se gasta</w:t>
                      </w:r>
                    </w:p>
                    <w:p w14:paraId="22EA8A13"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cuál es el beneficio del programa</w:t>
                      </w:r>
                    </w:p>
                    <w:p w14:paraId="1ABFBEDD" w14:textId="77777777" w:rsidR="00294015" w:rsidRPr="008D394B" w:rsidRDefault="00294015" w:rsidP="00044538">
                      <w:pPr>
                        <w:pStyle w:val="Prrafodelista"/>
                        <w:numPr>
                          <w:ilvl w:val="0"/>
                          <w:numId w:val="5"/>
                        </w:numPr>
                        <w:ind w:left="0" w:hanging="270"/>
                        <w:jc w:val="both"/>
                        <w:rPr>
                          <w:rFonts w:ascii="Times New Roman" w:hAnsi="Times New Roman"/>
                          <w:i/>
                        </w:rPr>
                      </w:pPr>
                      <w:r w:rsidRPr="008D394B">
                        <w:rPr>
                          <w:rFonts w:ascii="Times New Roman" w:hAnsi="Times New Roman"/>
                          <w:i/>
                        </w:rPr>
                        <w:t>quiénes son los beneficiarios</w:t>
                      </w:r>
                    </w:p>
                    <w:p w14:paraId="4909F475" w14:textId="77777777" w:rsidR="00294015" w:rsidRPr="00345A06" w:rsidRDefault="00294015" w:rsidP="00044538">
                      <w:pPr>
                        <w:pStyle w:val="Prrafodelista"/>
                        <w:numPr>
                          <w:ilvl w:val="0"/>
                          <w:numId w:val="5"/>
                        </w:numPr>
                        <w:ind w:left="0" w:hanging="270"/>
                        <w:jc w:val="both"/>
                        <w:rPr>
                          <w:rFonts w:ascii="Times New Roman" w:hAnsi="Times New Roman"/>
                          <w:i/>
                          <w:color w:val="000000" w:themeColor="text1"/>
                        </w:rPr>
                      </w:pPr>
                      <w:r w:rsidRPr="008D394B">
                        <w:rPr>
                          <w:rFonts w:ascii="Times New Roman" w:hAnsi="Times New Roman"/>
                          <w:i/>
                        </w:rPr>
                        <w:t>qué impacto genera en la población este beneficio.</w:t>
                      </w:r>
                    </w:p>
                    <w:p w14:paraId="1DF413FB" w14:textId="77777777" w:rsidR="00294015" w:rsidRPr="00345A06" w:rsidRDefault="00294015" w:rsidP="003C5E5F">
                      <w:pPr>
                        <w:jc w:val="both"/>
                        <w:rPr>
                          <w:rFonts w:ascii="Times New Roman" w:hAnsi="Times New Roman"/>
                          <w:i/>
                          <w:color w:val="000000" w:themeColor="text1"/>
                        </w:rPr>
                      </w:pPr>
                    </w:p>
                    <w:p w14:paraId="37AF581B" w14:textId="5B6B694B" w:rsidR="00294015" w:rsidRPr="00345A06" w:rsidRDefault="00294015" w:rsidP="003C5E5F">
                      <w:pPr>
                        <w:jc w:val="both"/>
                        <w:rPr>
                          <w:rFonts w:ascii="Times New Roman" w:hAnsi="Times New Roman"/>
                          <w:color w:val="000000" w:themeColor="text1"/>
                        </w:rPr>
                      </w:pPr>
                      <w:r w:rsidRPr="00345A06">
                        <w:rPr>
                          <w:rFonts w:ascii="Times New Roman" w:hAnsi="Times New Roman"/>
                          <w:color w:val="000000" w:themeColor="text1"/>
                        </w:rPr>
                        <w:t>En los Anexos de este manual, en el apartado de “Catálogos”</w:t>
                      </w:r>
                      <w:r w:rsidR="00A42FA1" w:rsidRPr="00345A06">
                        <w:rPr>
                          <w:rFonts w:ascii="Times New Roman" w:hAnsi="Times New Roman"/>
                          <w:color w:val="000000" w:themeColor="text1"/>
                        </w:rPr>
                        <w:t xml:space="preserve"> espec</w:t>
                      </w:r>
                      <w:r w:rsidR="00352BC0" w:rsidRPr="00345A06">
                        <w:rPr>
                          <w:rFonts w:ascii="Times New Roman" w:hAnsi="Times New Roman"/>
                          <w:color w:val="000000" w:themeColor="text1"/>
                        </w:rPr>
                        <w:t xml:space="preserve">íficamente en el </w:t>
                      </w:r>
                      <w:r w:rsidR="00A42FA1" w:rsidRPr="00345A06">
                        <w:rPr>
                          <w:rFonts w:ascii="Times New Roman" w:hAnsi="Times New Roman"/>
                          <w:color w:val="000000" w:themeColor="text1"/>
                        </w:rPr>
                        <w:t>“Catálogo de Modalidad”</w:t>
                      </w:r>
                      <w:r w:rsidRPr="00345A06">
                        <w:rPr>
                          <w:rFonts w:ascii="Times New Roman" w:hAnsi="Times New Roman"/>
                          <w:color w:val="000000" w:themeColor="text1"/>
                        </w:rPr>
                        <w:t>, se encuentra la clasificación de los Pp de acuerdo al Consejo Nacional de Armonización Contable (en lo sucesivo CONAC).</w:t>
                      </w:r>
                    </w:p>
                  </w:txbxContent>
                </v:textbox>
                <w10:wrap type="tight"/>
              </v:roundrect>
            </w:pict>
          </mc:Fallback>
        </mc:AlternateContent>
      </w:r>
    </w:p>
    <w:p w14:paraId="7C1DC065" w14:textId="77777777" w:rsidR="003C4948" w:rsidRPr="006315E9" w:rsidRDefault="003C4948" w:rsidP="003C4948">
      <w:pPr>
        <w:spacing w:after="200" w:line="276" w:lineRule="auto"/>
        <w:rPr>
          <w:rFonts w:ascii="Azo Sans Lt" w:hAnsi="Azo Sans Lt"/>
          <w:b/>
          <w:color w:val="000000" w:themeColor="text1"/>
          <w:sz w:val="22"/>
          <w:szCs w:val="22"/>
        </w:rPr>
      </w:pPr>
    </w:p>
    <w:p w14:paraId="52795DDF" w14:textId="77777777" w:rsidR="003C5E5F" w:rsidRPr="006315E9" w:rsidRDefault="003C5E5F" w:rsidP="00BA412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C. Presupuestación</w:t>
      </w:r>
    </w:p>
    <w:p w14:paraId="151315DF" w14:textId="7FEC18B3"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color w:val="000000" w:themeColor="text1"/>
          <w:sz w:val="22"/>
          <w:szCs w:val="22"/>
        </w:rPr>
        <w:t>Esta etapa ocurre una vez que se han diseñado los Pp</w:t>
      </w:r>
      <w:r w:rsidR="009D4119" w:rsidRPr="006315E9">
        <w:rPr>
          <w:rFonts w:ascii="Azo Sans Lt" w:hAnsi="Azo Sans Lt"/>
          <w:color w:val="000000" w:themeColor="text1"/>
          <w:sz w:val="22"/>
          <w:szCs w:val="22"/>
        </w:rPr>
        <w:t xml:space="preserve"> </w:t>
      </w:r>
      <w:r w:rsidRPr="006315E9">
        <w:rPr>
          <w:rFonts w:ascii="Azo Sans Lt" w:hAnsi="Azo Sans Lt"/>
          <w:color w:val="000000" w:themeColor="text1"/>
          <w:sz w:val="22"/>
          <w:szCs w:val="22"/>
        </w:rPr>
        <w:t>y se tiene claridad respecto de los</w:t>
      </w:r>
      <w:r w:rsidRPr="006315E9">
        <w:rPr>
          <w:rFonts w:ascii="Azo Sans Lt" w:hAnsi="Azo Sans Lt"/>
          <w:noProof/>
          <w:color w:val="000000" w:themeColor="text1"/>
          <w:sz w:val="22"/>
          <w:szCs w:val="22"/>
          <w:lang w:val="es-MX" w:eastAsia="es-MX"/>
        </w:rPr>
        <w:t xml:space="preserve"> bienes y servicios a producir y </w:t>
      </w:r>
      <w:r w:rsidR="00A96382" w:rsidRPr="006315E9">
        <w:rPr>
          <w:rFonts w:ascii="Azo Sans Lt" w:hAnsi="Azo Sans Lt"/>
          <w:noProof/>
          <w:color w:val="000000" w:themeColor="text1"/>
          <w:sz w:val="22"/>
          <w:szCs w:val="22"/>
          <w:lang w:val="es-MX" w:eastAsia="es-MX"/>
        </w:rPr>
        <w:t>de</w:t>
      </w:r>
      <w:r w:rsidRPr="006315E9">
        <w:rPr>
          <w:rFonts w:ascii="Azo Sans Lt" w:hAnsi="Azo Sans Lt"/>
          <w:noProof/>
          <w:color w:val="000000" w:themeColor="text1"/>
          <w:sz w:val="22"/>
          <w:szCs w:val="22"/>
          <w:lang w:val="es-MX" w:eastAsia="es-MX"/>
        </w:rPr>
        <w:t xml:space="preserve"> las actividades a desarrollar por parte de las Dependencias y Entidades. El proceso inicia con la preparación</w:t>
      </w:r>
      <w:r w:rsidR="00451570" w:rsidRPr="006315E9">
        <w:rPr>
          <w:rFonts w:ascii="Azo Sans Lt" w:hAnsi="Azo Sans Lt"/>
          <w:noProof/>
          <w:color w:val="000000" w:themeColor="text1"/>
          <w:sz w:val="22"/>
          <w:szCs w:val="22"/>
          <w:lang w:val="es-MX" w:eastAsia="es-MX"/>
        </w:rPr>
        <w:t xml:space="preserve"> del</w:t>
      </w:r>
      <w:r w:rsidR="00A843F9" w:rsidRPr="006315E9">
        <w:rPr>
          <w:rFonts w:ascii="Azo Sans Lt" w:hAnsi="Azo Sans Lt"/>
          <w:noProof/>
          <w:color w:val="000000" w:themeColor="text1"/>
          <w:sz w:val="22"/>
          <w:szCs w:val="22"/>
          <w:lang w:val="es-MX" w:eastAsia="es-MX"/>
        </w:rPr>
        <w:t xml:space="preserve"> Anteproyecto de PEE </w:t>
      </w:r>
      <w:r w:rsidRPr="006315E9">
        <w:rPr>
          <w:rFonts w:ascii="Azo Sans Lt" w:hAnsi="Azo Sans Lt"/>
          <w:noProof/>
          <w:color w:val="000000" w:themeColor="text1"/>
          <w:sz w:val="22"/>
          <w:szCs w:val="22"/>
          <w:lang w:val="es-MX" w:eastAsia="es-MX"/>
        </w:rPr>
        <w:t xml:space="preserve"> de cada</w:t>
      </w:r>
      <w:r w:rsidR="00A843F9" w:rsidRPr="006315E9">
        <w:rPr>
          <w:rFonts w:ascii="Azo Sans Lt" w:hAnsi="Azo Sans Lt"/>
          <w:noProof/>
          <w:color w:val="000000" w:themeColor="text1"/>
          <w:sz w:val="22"/>
          <w:szCs w:val="22"/>
          <w:lang w:val="es-MX" w:eastAsia="es-MX"/>
        </w:rPr>
        <w:t xml:space="preserve">  Dependencia y Entidad</w:t>
      </w:r>
      <w:r w:rsidR="00451570" w:rsidRPr="006315E9">
        <w:rPr>
          <w:rFonts w:ascii="Azo Sans Lt" w:hAnsi="Azo Sans Lt"/>
          <w:noProof/>
          <w:color w:val="000000" w:themeColor="text1"/>
          <w:sz w:val="22"/>
          <w:szCs w:val="22"/>
          <w:lang w:val="es-MX" w:eastAsia="es-MX"/>
        </w:rPr>
        <w:t>. Elaborados los anteproyectos,</w:t>
      </w:r>
      <w:r w:rsidR="00A677CC" w:rsidRPr="006315E9">
        <w:rPr>
          <w:rFonts w:ascii="Azo Sans Lt" w:hAnsi="Azo Sans Lt"/>
          <w:noProof/>
          <w:color w:val="000000" w:themeColor="text1"/>
          <w:sz w:val="22"/>
          <w:szCs w:val="22"/>
          <w:lang w:val="es-MX" w:eastAsia="es-MX"/>
        </w:rPr>
        <w:t xml:space="preserve"> las </w:t>
      </w:r>
      <w:r w:rsidR="004D72EE" w:rsidRPr="006315E9">
        <w:rPr>
          <w:rFonts w:ascii="Azo Sans Lt" w:hAnsi="Azo Sans Lt"/>
          <w:noProof/>
          <w:color w:val="000000" w:themeColor="text1"/>
          <w:sz w:val="22"/>
          <w:szCs w:val="22"/>
          <w:lang w:val="es-MX" w:eastAsia="es-MX"/>
        </w:rPr>
        <w:t>Unidades Responsables (en lo sucesivo UR)</w:t>
      </w:r>
      <w:r w:rsidRPr="006315E9">
        <w:rPr>
          <w:rFonts w:ascii="Azo Sans Lt" w:hAnsi="Azo Sans Lt"/>
          <w:noProof/>
          <w:color w:val="000000" w:themeColor="text1"/>
          <w:sz w:val="22"/>
          <w:szCs w:val="22"/>
          <w:lang w:val="es-MX" w:eastAsia="es-MX"/>
        </w:rPr>
        <w:t xml:space="preserve"> de formular </w:t>
      </w:r>
      <w:r w:rsidR="009D4119" w:rsidRPr="006315E9">
        <w:rPr>
          <w:rFonts w:ascii="Azo Sans Lt" w:hAnsi="Azo Sans Lt"/>
          <w:noProof/>
          <w:color w:val="000000" w:themeColor="text1"/>
          <w:sz w:val="22"/>
          <w:szCs w:val="22"/>
          <w:lang w:val="es-MX" w:eastAsia="es-MX"/>
        </w:rPr>
        <w:t xml:space="preserve">el presupuesto </w:t>
      </w:r>
      <w:r w:rsidRPr="006315E9">
        <w:rPr>
          <w:rFonts w:ascii="Azo Sans Lt" w:hAnsi="Azo Sans Lt"/>
          <w:noProof/>
          <w:color w:val="000000" w:themeColor="text1"/>
          <w:sz w:val="22"/>
          <w:szCs w:val="22"/>
          <w:lang w:val="es-MX" w:eastAsia="es-MX"/>
        </w:rPr>
        <w:t xml:space="preserve">-con la interacción permanente de cada una de las áreas de planeación y administración </w:t>
      </w:r>
      <w:r w:rsidR="009D4119" w:rsidRPr="006315E9">
        <w:rPr>
          <w:rFonts w:ascii="Azo Sans Lt" w:hAnsi="Azo Sans Lt"/>
          <w:noProof/>
          <w:color w:val="000000" w:themeColor="text1"/>
          <w:sz w:val="22"/>
          <w:szCs w:val="22"/>
          <w:lang w:val="es-MX" w:eastAsia="es-MX"/>
        </w:rPr>
        <w:t>de las Dependencias y Entidades</w:t>
      </w:r>
      <w:r w:rsidRPr="006315E9">
        <w:rPr>
          <w:rFonts w:ascii="Azo Sans Lt" w:hAnsi="Azo Sans Lt"/>
          <w:noProof/>
          <w:color w:val="000000" w:themeColor="text1"/>
          <w:sz w:val="22"/>
          <w:szCs w:val="22"/>
          <w:lang w:val="es-MX" w:eastAsia="es-MX"/>
        </w:rPr>
        <w:t xml:space="preserve">-, reúne los distintos </w:t>
      </w:r>
      <w:r w:rsidR="004D72EE" w:rsidRPr="006315E9">
        <w:rPr>
          <w:rFonts w:ascii="Azo Sans Lt" w:hAnsi="Azo Sans Lt"/>
          <w:noProof/>
          <w:color w:val="000000" w:themeColor="text1"/>
          <w:sz w:val="22"/>
          <w:szCs w:val="22"/>
          <w:lang w:val="es-MX" w:eastAsia="es-MX"/>
        </w:rPr>
        <w:t>Anteproyecto</w:t>
      </w:r>
      <w:r w:rsidR="00451570" w:rsidRPr="006315E9">
        <w:rPr>
          <w:rFonts w:ascii="Azo Sans Lt" w:hAnsi="Azo Sans Lt"/>
          <w:noProof/>
          <w:color w:val="000000" w:themeColor="text1"/>
          <w:sz w:val="22"/>
          <w:szCs w:val="22"/>
          <w:lang w:val="es-MX" w:eastAsia="es-MX"/>
        </w:rPr>
        <w:t xml:space="preserve">s </w:t>
      </w:r>
      <w:r w:rsidR="00BA4F73" w:rsidRPr="006315E9">
        <w:rPr>
          <w:rFonts w:ascii="Azo Sans Lt" w:hAnsi="Azo Sans Lt"/>
          <w:noProof/>
          <w:color w:val="000000" w:themeColor="text1"/>
          <w:sz w:val="22"/>
          <w:szCs w:val="22"/>
          <w:lang w:val="es-MX" w:eastAsia="es-MX"/>
        </w:rPr>
        <w:t>de PE</w:t>
      </w:r>
      <w:r w:rsidR="004D72EE" w:rsidRPr="006315E9">
        <w:rPr>
          <w:rFonts w:ascii="Azo Sans Lt" w:hAnsi="Azo Sans Lt"/>
          <w:noProof/>
          <w:color w:val="000000" w:themeColor="text1"/>
          <w:sz w:val="22"/>
          <w:szCs w:val="22"/>
          <w:lang w:val="es-MX" w:eastAsia="es-MX"/>
        </w:rPr>
        <w:t>E</w:t>
      </w:r>
      <w:r w:rsidR="00451570" w:rsidRPr="006315E9">
        <w:rPr>
          <w:rFonts w:ascii="Azo Sans Lt" w:hAnsi="Azo Sans Lt"/>
          <w:noProof/>
          <w:color w:val="000000" w:themeColor="text1"/>
          <w:sz w:val="22"/>
          <w:szCs w:val="22"/>
          <w:lang w:val="es-MX" w:eastAsia="es-MX"/>
        </w:rPr>
        <w:t xml:space="preserve"> </w:t>
      </w:r>
      <w:r w:rsidRPr="006315E9">
        <w:rPr>
          <w:rFonts w:ascii="Azo Sans Lt" w:hAnsi="Azo Sans Lt"/>
          <w:noProof/>
          <w:color w:val="000000" w:themeColor="text1"/>
          <w:sz w:val="22"/>
          <w:szCs w:val="22"/>
          <w:lang w:val="es-MX" w:eastAsia="es-MX"/>
        </w:rPr>
        <w:t>para integrarlos, coordinarlos y compatibilizarlos con la disponibilidad de recursos y las orientaciones de los planes y políticas públicas establecidas para el ejercicio fiscal. Posteriormente, la Iniciativa de Ley de Presupuesto de Egresos</w:t>
      </w:r>
      <w:r w:rsidR="004D72EE" w:rsidRPr="006315E9">
        <w:rPr>
          <w:rFonts w:ascii="Azo Sans Lt" w:hAnsi="Azo Sans Lt"/>
          <w:noProof/>
          <w:color w:val="000000" w:themeColor="text1"/>
          <w:sz w:val="22"/>
          <w:szCs w:val="22"/>
          <w:lang w:val="es-MX" w:eastAsia="es-MX"/>
        </w:rPr>
        <w:t xml:space="preserve"> (en lo sucesivo Iniciativa de LPE)</w:t>
      </w:r>
      <w:r w:rsidRPr="006315E9">
        <w:rPr>
          <w:rFonts w:ascii="Azo Sans Lt" w:hAnsi="Azo Sans Lt"/>
          <w:noProof/>
          <w:color w:val="000000" w:themeColor="text1"/>
          <w:sz w:val="22"/>
          <w:szCs w:val="22"/>
          <w:lang w:val="es-MX" w:eastAsia="es-MX"/>
        </w:rPr>
        <w:t xml:space="preserve"> se somete a la consideración del</w:t>
      </w:r>
      <w:r w:rsidR="004D72EE" w:rsidRPr="006315E9">
        <w:rPr>
          <w:rFonts w:ascii="Azo Sans Lt" w:hAnsi="Azo Sans Lt"/>
          <w:noProof/>
          <w:color w:val="000000" w:themeColor="text1"/>
          <w:sz w:val="22"/>
          <w:szCs w:val="22"/>
          <w:lang w:val="es-MX" w:eastAsia="es-MX"/>
        </w:rPr>
        <w:t xml:space="preserve"> H. C</w:t>
      </w:r>
      <w:r w:rsidR="00A677CC" w:rsidRPr="006315E9">
        <w:rPr>
          <w:rFonts w:ascii="Azo Sans Lt" w:hAnsi="Azo Sans Lt"/>
          <w:noProof/>
          <w:color w:val="000000" w:themeColor="text1"/>
          <w:sz w:val="22"/>
          <w:szCs w:val="22"/>
          <w:lang w:val="es-MX" w:eastAsia="es-MX"/>
        </w:rPr>
        <w:t>ongreso del Estado</w:t>
      </w:r>
      <w:r w:rsidRPr="006315E9">
        <w:rPr>
          <w:rFonts w:ascii="Azo Sans Lt" w:hAnsi="Azo Sans Lt"/>
          <w:noProof/>
          <w:color w:val="000000" w:themeColor="text1"/>
          <w:sz w:val="22"/>
          <w:szCs w:val="22"/>
          <w:lang w:val="es-MX" w:eastAsia="es-MX"/>
        </w:rPr>
        <w:t xml:space="preserve"> el cual lo examina a través de comisiones especiales que lo dictaminan para someterlo a su discusión y eventual aprobación.</w:t>
      </w:r>
    </w:p>
    <w:p w14:paraId="183AC808"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2218A157" w14:textId="77777777" w:rsidR="003C5E5F" w:rsidRPr="006315E9" w:rsidRDefault="003C5E5F" w:rsidP="003C494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D. Ejecución, Control y Seguimiento</w:t>
      </w:r>
    </w:p>
    <w:p w14:paraId="25F2568E"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Ejecución del presupuesto comprende una serie de decisiones y numerosas operaciones financieras que permiten concretar anualmente los objetivos y metas planteados por el sector público en sus Pp. En este contexto, la etapa de ejecución consiste en la movilización de los recursos financieros, materiales y humanos mediante una serie de técnicas y procedimientos administrativos, contables, financieros y de productividad. Esta movilización se hace a partir de unidades ejecutoras del gasto responsables de la administración del proceso presupuestal en cada una de las Dependencias y Entidades.</w:t>
      </w:r>
    </w:p>
    <w:p w14:paraId="6515D6D0"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lastRenderedPageBreak/>
        <w:t>Por su parte, el Control y Seguimiento presupuestal consiste en la realización de tareas y procedimientos que implican verificar y valorar las acciones emprendidas por los ejecutores del gasto, con el propósito de apreciar la medida en que se están cumpliendo “cualitativa y cuantitativamente” las políticas y programas públicos del aparato gubernamental durante el ejercicio fiscal.</w:t>
      </w:r>
    </w:p>
    <w:p w14:paraId="11DED311" w14:textId="37FD1EFA" w:rsidR="00B55ED1" w:rsidRPr="006315E9" w:rsidRDefault="00B55ED1" w:rsidP="003C4948">
      <w:pPr>
        <w:spacing w:after="200" w:line="276" w:lineRule="auto"/>
        <w:ind w:left="567"/>
        <w:rPr>
          <w:rFonts w:ascii="Azo Sans Lt" w:hAnsi="Azo Sans Lt"/>
          <w:noProof/>
          <w:color w:val="000000" w:themeColor="text1"/>
          <w:sz w:val="22"/>
          <w:szCs w:val="22"/>
          <w:lang w:val="es-MX" w:eastAsia="es-MX"/>
        </w:rPr>
      </w:pPr>
    </w:p>
    <w:p w14:paraId="2C53DD10" w14:textId="77777777" w:rsidR="003C5E5F" w:rsidRPr="006315E9" w:rsidRDefault="003C5E5F" w:rsidP="003C4948">
      <w:pPr>
        <w:suppressAutoHyphens/>
        <w:spacing w:after="200" w:line="276" w:lineRule="auto"/>
        <w:ind w:left="567"/>
        <w:contextualSpacing/>
        <w:jc w:val="both"/>
        <w:rPr>
          <w:rFonts w:ascii="Azo Sans Lt" w:hAnsi="Azo Sans Lt"/>
          <w:b/>
          <w:color w:val="000000" w:themeColor="text1"/>
          <w:sz w:val="22"/>
          <w:szCs w:val="22"/>
        </w:rPr>
      </w:pPr>
      <w:r w:rsidRPr="006315E9">
        <w:rPr>
          <w:rFonts w:ascii="Azo Sans Lt" w:hAnsi="Azo Sans Lt"/>
          <w:b/>
          <w:color w:val="000000" w:themeColor="text1"/>
          <w:sz w:val="22"/>
          <w:szCs w:val="22"/>
        </w:rPr>
        <w:t>E. Evaluación y Rendición de Cuentas</w:t>
      </w:r>
    </w:p>
    <w:p w14:paraId="285476E5"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etapa de Evaluación consiste en el análisis crítico y objetivo de los resultados obtenidos y los efectos producidos en el ejercicio del presupuesto durante el ciclo fiscal y en el mediano y largo plazo, con el propósito de establecer propuestas y generar información tendientes a promover medidas para perfeccionar, mejorar o corregir la acción pública.</w:t>
      </w:r>
    </w:p>
    <w:p w14:paraId="4B61FEFD"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09801AE9"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evaluación presupuestaria debe constituirse en un proceso permanente durante todo el ciclo presupuestal, a fin de determinar el grado de cumplimiento de los criterios de eficiencia, eficacia, economía, transparencia y honradez aplicado al manejo de los recursos en los programas públicos. Este grado de cumplimiento se determina a partir de la comparación de los resultados obtenidos, respecto a los objetivos y metas previstos en cada uno de dichos programas, ello con el fin de adoptar las medidas correctivas que sean necesarias para garantizar que se cumplan los propósitos para los que fueron dispuestos los recursos.</w:t>
      </w:r>
    </w:p>
    <w:p w14:paraId="12951ECF"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7DCBAD95"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La Rendición de Cuentas y la Transparencia, por su parte, son dos elementos esenciales del proceso presupuestario. Por medio de la primera el gobierno explica a la sociedad el resultado de sus acciones y acepta consecuentemente l</w:t>
      </w:r>
      <w:r w:rsidR="00965CBF" w:rsidRPr="006315E9">
        <w:rPr>
          <w:rFonts w:ascii="Azo Sans Lt" w:hAnsi="Azo Sans Lt"/>
          <w:noProof/>
          <w:color w:val="000000" w:themeColor="text1"/>
          <w:sz w:val="22"/>
          <w:szCs w:val="22"/>
          <w:lang w:val="es-MX" w:eastAsia="es-MX"/>
        </w:rPr>
        <w:t>a responsabilidad de las mismas;</w:t>
      </w:r>
      <w:r w:rsidRPr="006315E9">
        <w:rPr>
          <w:rFonts w:ascii="Azo Sans Lt" w:hAnsi="Azo Sans Lt"/>
          <w:noProof/>
          <w:color w:val="000000" w:themeColor="text1"/>
          <w:sz w:val="22"/>
          <w:szCs w:val="22"/>
          <w:lang w:val="es-MX" w:eastAsia="es-MX"/>
        </w:rPr>
        <w:t xml:space="preserve"> mientras que con la transparencia se abre la información gubernamental al escrutinio público, para que aquellos interesados puedan revisarla, analizarla y, en su caso, utilizarla como mecanismo para sancionar y evaluar la acción pública.</w:t>
      </w:r>
    </w:p>
    <w:p w14:paraId="09CF2ACA"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p>
    <w:p w14:paraId="6BA92C05" w14:textId="77777777" w:rsidR="003C5E5F" w:rsidRPr="006315E9" w:rsidRDefault="003C5E5F" w:rsidP="003C4948">
      <w:pPr>
        <w:suppressAutoHyphens/>
        <w:spacing w:after="200" w:line="276" w:lineRule="auto"/>
        <w:ind w:left="567"/>
        <w:contextualSpacing/>
        <w:jc w:val="both"/>
        <w:rPr>
          <w:rFonts w:ascii="Azo Sans Lt" w:hAnsi="Azo Sans Lt"/>
          <w:noProof/>
          <w:color w:val="000000" w:themeColor="text1"/>
          <w:sz w:val="22"/>
          <w:szCs w:val="22"/>
          <w:lang w:val="es-MX" w:eastAsia="es-MX"/>
        </w:rPr>
      </w:pPr>
      <w:r w:rsidRPr="006315E9">
        <w:rPr>
          <w:rFonts w:ascii="Azo Sans Lt" w:hAnsi="Azo Sans Lt"/>
          <w:noProof/>
          <w:color w:val="000000" w:themeColor="text1"/>
          <w:sz w:val="22"/>
          <w:szCs w:val="22"/>
          <w:lang w:val="es-MX" w:eastAsia="es-MX"/>
        </w:rPr>
        <w:t>En este sentido se debe rendir cuentas para reportar o explicar las acciones de gobierno y debe transparentarse esta información para mostrar el funcionamiento del aparato público y someterse a la evaluación de</w:t>
      </w:r>
      <w:r w:rsidR="00012D30" w:rsidRPr="006315E9">
        <w:rPr>
          <w:rFonts w:ascii="Azo Sans Lt" w:hAnsi="Azo Sans Lt"/>
          <w:noProof/>
          <w:color w:val="000000" w:themeColor="text1"/>
          <w:sz w:val="22"/>
          <w:szCs w:val="22"/>
          <w:lang w:val="es-MX" w:eastAsia="es-MX"/>
        </w:rPr>
        <w:t xml:space="preserve"> la ciudadanía.</w:t>
      </w:r>
      <w:r w:rsidRPr="006315E9">
        <w:rPr>
          <w:rFonts w:ascii="Azo Sans Lt" w:hAnsi="Azo Sans Lt"/>
          <w:noProof/>
          <w:color w:val="000000" w:themeColor="text1"/>
          <w:sz w:val="22"/>
          <w:szCs w:val="22"/>
          <w:lang w:val="es-MX" w:eastAsia="es-MX"/>
        </w:rPr>
        <w:t xml:space="preserve"> </w:t>
      </w:r>
    </w:p>
    <w:sectPr w:rsidR="003C5E5F" w:rsidRPr="006315E9" w:rsidSect="006C7EA6">
      <w:headerReference w:type="default" r:id="rId15"/>
      <w:footerReference w:type="default" r:id="rId16"/>
      <w:pgSz w:w="12240" w:h="15840" w:code="1"/>
      <w:pgMar w:top="1418" w:right="1418" w:bottom="1418" w:left="1418" w:header="709" w:footer="284"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9A352" w14:textId="77777777" w:rsidR="00561275" w:rsidRDefault="00561275" w:rsidP="00400F6D">
      <w:r>
        <w:separator/>
      </w:r>
    </w:p>
  </w:endnote>
  <w:endnote w:type="continuationSeparator" w:id="0">
    <w:p w14:paraId="07A8409E" w14:textId="77777777" w:rsidR="00561275" w:rsidRDefault="00561275"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ntique Olive">
    <w:altName w:val="Corbel"/>
    <w:panose1 w:val="020B0603020204030204"/>
    <w:charset w:val="00"/>
    <w:family w:val="swiss"/>
    <w:pitch w:val="variable"/>
    <w:sig w:usb0="00000003" w:usb1="00000000" w:usb2="00000000" w:usb3="00000000" w:csb0="00000001" w:csb1="00000000"/>
  </w:font>
  <w:font w:name="Azo Sans Lt">
    <w:panose1 w:val="02000000000000000000"/>
    <w:charset w:val="00"/>
    <w:family w:val="auto"/>
    <w:pitch w:val="variable"/>
    <w:sig w:usb0="00000007" w:usb1="00000000" w:usb2="00000000" w:usb3="00000000" w:csb0="00000093"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8791"/>
      <w:gridCol w:w="613"/>
    </w:tblGrid>
    <w:tr w:rsidR="00294015" w:rsidRPr="007B3865" w14:paraId="359E8005" w14:textId="77777777" w:rsidTr="00B0166C">
      <w:tc>
        <w:tcPr>
          <w:tcW w:w="4674" w:type="pct"/>
          <w:tcBorders>
            <w:top w:val="single" w:sz="4" w:space="0" w:color="000000" w:themeColor="text1"/>
          </w:tcBorders>
        </w:tcPr>
        <w:p w14:paraId="37948DC2" w14:textId="77777777" w:rsidR="00294015" w:rsidRPr="007B3865" w:rsidRDefault="00561275" w:rsidP="00400F6D">
          <w:pPr>
            <w:pStyle w:val="Piedepgina"/>
            <w:jc w:val="right"/>
            <w:rPr>
              <w:rFonts w:ascii="Azo Sans Lt" w:hAnsi="Azo Sans Lt" w:cstheme="minorHAnsi"/>
            </w:rPr>
          </w:pPr>
          <w:sdt>
            <w:sdtPr>
              <w:rPr>
                <w:rFonts w:ascii="Azo Sans Lt" w:hAnsi="Azo Sans Lt" w:cstheme="minorHAnsi"/>
              </w:rPr>
              <w:alias w:val="Compañía"/>
              <w:id w:val="75971759"/>
              <w:dataBinding w:prefixMappings="xmlns:ns0='http://schemas.openxmlformats.org/officeDocument/2006/extended-properties'" w:xpath="/ns0:Properties[1]/ns0:Company[1]" w:storeItemID="{6668398D-A668-4E3E-A5EB-62B293D839F1}"/>
              <w:text/>
            </w:sdtPr>
            <w:sdtEndPr/>
            <w:sdtContent>
              <w:r w:rsidR="00294015" w:rsidRPr="007B3865">
                <w:rPr>
                  <w:rFonts w:ascii="Azo Sans Lt" w:hAnsi="Azo Sans Lt" w:cstheme="minorHAnsi"/>
                </w:rPr>
                <w:t>Secretaría de Finanzas</w:t>
              </w:r>
            </w:sdtContent>
          </w:sdt>
          <w:r w:rsidR="00294015" w:rsidRPr="007B3865">
            <w:rPr>
              <w:rFonts w:ascii="Azo Sans Lt" w:hAnsi="Azo Sans Lt" w:cstheme="minorHAnsi"/>
              <w:lang w:val="es-ES"/>
            </w:rPr>
            <w:t xml:space="preserve"> / Subsecretaría de Programación y Presupuesto</w:t>
          </w:r>
        </w:p>
      </w:tc>
      <w:tc>
        <w:tcPr>
          <w:tcW w:w="326" w:type="pct"/>
          <w:tcBorders>
            <w:top w:val="single" w:sz="4" w:space="0" w:color="C0504D" w:themeColor="accent2"/>
          </w:tcBorders>
          <w:shd w:val="clear" w:color="auto" w:fill="9BBB59" w:themeFill="accent3"/>
        </w:tcPr>
        <w:p w14:paraId="590F28D6" w14:textId="401BE2B8" w:rsidR="00294015" w:rsidRPr="007B3865" w:rsidRDefault="00294015" w:rsidP="000A2FE8">
          <w:pPr>
            <w:pStyle w:val="Encabezado"/>
            <w:jc w:val="right"/>
            <w:rPr>
              <w:rFonts w:ascii="Azo Sans Lt" w:hAnsi="Azo Sans Lt"/>
              <w:color w:val="FFFFFF" w:themeColor="background1"/>
            </w:rPr>
          </w:pPr>
          <w:r w:rsidRPr="007B3865">
            <w:rPr>
              <w:rFonts w:ascii="Azo Sans Lt" w:hAnsi="Azo Sans Lt"/>
            </w:rPr>
            <w:fldChar w:fldCharType="begin"/>
          </w:r>
          <w:r w:rsidRPr="007B3865">
            <w:rPr>
              <w:rFonts w:ascii="Azo Sans Lt" w:hAnsi="Azo Sans Lt"/>
            </w:rPr>
            <w:instrText>PAGE   \* MERGEFORMAT</w:instrText>
          </w:r>
          <w:r w:rsidRPr="007B3865">
            <w:rPr>
              <w:rFonts w:ascii="Azo Sans Lt" w:hAnsi="Azo Sans Lt"/>
            </w:rPr>
            <w:fldChar w:fldCharType="separate"/>
          </w:r>
          <w:r w:rsidR="006315E9" w:rsidRPr="006315E9">
            <w:rPr>
              <w:rFonts w:ascii="Azo Sans Lt" w:hAnsi="Azo Sans Lt"/>
              <w:noProof/>
              <w:lang w:val="es-ES"/>
            </w:rPr>
            <w:t>31</w:t>
          </w:r>
          <w:r w:rsidRPr="007B3865">
            <w:rPr>
              <w:rFonts w:ascii="Azo Sans Lt" w:hAnsi="Azo Sans Lt"/>
            </w:rPr>
            <w:fldChar w:fldCharType="end"/>
          </w:r>
        </w:p>
      </w:tc>
    </w:tr>
  </w:tbl>
  <w:p w14:paraId="1CA21756" w14:textId="77777777" w:rsidR="00294015" w:rsidRPr="007B3865" w:rsidRDefault="002940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5C411" w14:textId="77777777" w:rsidR="00561275" w:rsidRDefault="00561275" w:rsidP="00400F6D">
      <w:r>
        <w:separator/>
      </w:r>
    </w:p>
  </w:footnote>
  <w:footnote w:type="continuationSeparator" w:id="0">
    <w:p w14:paraId="150EADF1" w14:textId="77777777" w:rsidR="00561275" w:rsidRDefault="00561275" w:rsidP="00400F6D">
      <w:r>
        <w:continuationSeparator/>
      </w:r>
    </w:p>
  </w:footnote>
  <w:footnote w:id="1">
    <w:p w14:paraId="26D0E120" w14:textId="77777777" w:rsidR="00294015" w:rsidRPr="003C4948" w:rsidRDefault="00294015" w:rsidP="003C5E5F">
      <w:pPr>
        <w:pStyle w:val="Textonotapie"/>
        <w:jc w:val="both"/>
        <w:rPr>
          <w:rFonts w:ascii="Azo Sans Lt" w:hAnsi="Azo Sans Lt"/>
          <w:sz w:val="16"/>
          <w:szCs w:val="16"/>
          <w:lang w:val="es-MX"/>
        </w:rPr>
      </w:pPr>
      <w:r w:rsidRPr="003C4948">
        <w:rPr>
          <w:rStyle w:val="Refdenotaalpie"/>
          <w:rFonts w:ascii="Azo Sans Lt" w:hAnsi="Azo Sans Lt"/>
          <w:sz w:val="16"/>
          <w:szCs w:val="16"/>
        </w:rPr>
        <w:footnoteRef/>
      </w:r>
      <w:r w:rsidRPr="003C4948">
        <w:rPr>
          <w:rFonts w:ascii="Azo Sans Lt" w:hAnsi="Azo Sans Lt"/>
          <w:sz w:val="16"/>
          <w:szCs w:val="16"/>
        </w:rPr>
        <w:t xml:space="preserve"> Ar</w:t>
      </w:r>
      <w:r w:rsidRPr="003C4948">
        <w:rPr>
          <w:rFonts w:ascii="Azo Sans Lt" w:hAnsi="Azo Sans Lt"/>
          <w:sz w:val="16"/>
          <w:szCs w:val="16"/>
          <w:lang w:val="es-MX"/>
        </w:rPr>
        <w:t>t</w:t>
      </w:r>
      <w:r w:rsidRPr="003C4948">
        <w:rPr>
          <w:rFonts w:ascii="Azo Sans Lt" w:hAnsi="Azo Sans Lt"/>
          <w:sz w:val="16"/>
          <w:szCs w:val="16"/>
        </w:rPr>
        <w:t>.</w:t>
      </w:r>
      <w:r w:rsidRPr="003C4948">
        <w:rPr>
          <w:rFonts w:ascii="Azo Sans Lt" w:hAnsi="Azo Sans Lt"/>
          <w:color w:val="FF0000"/>
          <w:sz w:val="16"/>
          <w:szCs w:val="16"/>
        </w:rPr>
        <w:t xml:space="preserve"> </w:t>
      </w:r>
      <w:r w:rsidRPr="003C4948">
        <w:rPr>
          <w:rFonts w:ascii="Azo Sans Lt" w:hAnsi="Azo Sans Lt"/>
          <w:sz w:val="16"/>
          <w:szCs w:val="16"/>
          <w:lang w:val="es-MX"/>
        </w:rPr>
        <w:t>1</w:t>
      </w:r>
      <w:r w:rsidRPr="003C4948">
        <w:rPr>
          <w:rFonts w:ascii="Azo Sans Lt" w:hAnsi="Azo Sans Lt"/>
          <w:sz w:val="16"/>
          <w:szCs w:val="16"/>
        </w:rPr>
        <w:t xml:space="preserve">34 </w:t>
      </w:r>
      <w:r w:rsidRPr="003C4948">
        <w:rPr>
          <w:rFonts w:ascii="Azo Sans Lt" w:hAnsi="Azo Sans Lt"/>
          <w:sz w:val="16"/>
          <w:szCs w:val="16"/>
          <w:lang w:val="es-MX"/>
        </w:rPr>
        <w:t xml:space="preserve">de la </w:t>
      </w:r>
      <w:r w:rsidRPr="003C4948">
        <w:rPr>
          <w:rFonts w:ascii="Azo Sans Lt" w:hAnsi="Azo Sans Lt"/>
          <w:sz w:val="16"/>
          <w:szCs w:val="16"/>
        </w:rPr>
        <w:t>Constitución Política de los Estados Unidos Mexicanos, SHCP, “Evaluación del Sistema de Presupuesto por Resultados”, 2012</w:t>
      </w:r>
      <w:r w:rsidRPr="003C4948">
        <w:rPr>
          <w:rFonts w:ascii="Azo Sans Lt" w:hAnsi="Azo Sans Lt"/>
          <w:sz w:val="16"/>
          <w:szCs w:val="16"/>
          <w:lang w:val="es-MX"/>
        </w:rPr>
        <w:t xml:space="preserve">. </w:t>
      </w:r>
    </w:p>
  </w:footnote>
  <w:footnote w:id="2">
    <w:p w14:paraId="3659526E" w14:textId="77777777" w:rsidR="00294015" w:rsidRPr="003C4948" w:rsidRDefault="00294015" w:rsidP="003C5E5F">
      <w:pPr>
        <w:autoSpaceDE w:val="0"/>
        <w:autoSpaceDN w:val="0"/>
        <w:adjustRightInd w:val="0"/>
        <w:jc w:val="both"/>
        <w:rPr>
          <w:rFonts w:ascii="Azo Sans Lt" w:hAnsi="Azo Sans Lt"/>
          <w:sz w:val="16"/>
          <w:szCs w:val="16"/>
          <w:lang w:eastAsia="es-MX"/>
        </w:rPr>
      </w:pPr>
      <w:r w:rsidRPr="003C4948">
        <w:rPr>
          <w:rStyle w:val="Refdenotaalpie"/>
          <w:rFonts w:ascii="Azo Sans Lt" w:hAnsi="Azo Sans Lt"/>
          <w:sz w:val="16"/>
          <w:szCs w:val="16"/>
        </w:rPr>
        <w:footnoteRef/>
      </w:r>
      <w:r w:rsidRPr="003C4948">
        <w:rPr>
          <w:rFonts w:ascii="Azo Sans Lt" w:hAnsi="Azo Sans Lt"/>
          <w:sz w:val="16"/>
          <w:szCs w:val="16"/>
        </w:rPr>
        <w:t xml:space="preserve"> </w:t>
      </w:r>
      <w:r w:rsidRPr="003C4948">
        <w:rPr>
          <w:rFonts w:ascii="Azo Sans Lt" w:hAnsi="Azo Sans Lt"/>
          <w:sz w:val="16"/>
          <w:szCs w:val="16"/>
          <w:lang w:eastAsia="es-MX"/>
        </w:rPr>
        <w:t>Guerrero, J.P, López, M., Manual sobre el Marco Jurídico del Presupuesto Público Federal, Centro de Investigación y Docencia Económicas (CIDE)</w:t>
      </w:r>
    </w:p>
  </w:footnote>
  <w:footnote w:id="3">
    <w:p w14:paraId="1BBC1C95" w14:textId="77777777" w:rsidR="00294015" w:rsidRPr="003C4948" w:rsidRDefault="00294015" w:rsidP="003C5E5F">
      <w:pPr>
        <w:autoSpaceDE w:val="0"/>
        <w:autoSpaceDN w:val="0"/>
        <w:adjustRightInd w:val="0"/>
        <w:jc w:val="both"/>
        <w:rPr>
          <w:rFonts w:ascii="Times New Roman" w:hAnsi="Times New Roman"/>
          <w:sz w:val="16"/>
          <w:szCs w:val="16"/>
        </w:rPr>
      </w:pPr>
      <w:r w:rsidRPr="003C4948">
        <w:rPr>
          <w:rStyle w:val="Refdenotaalpie"/>
          <w:rFonts w:ascii="Azo Sans Lt" w:hAnsi="Azo Sans Lt"/>
          <w:sz w:val="16"/>
          <w:szCs w:val="16"/>
        </w:rPr>
        <w:footnoteRef/>
      </w:r>
      <w:r w:rsidRPr="003C4948">
        <w:rPr>
          <w:rFonts w:ascii="Azo Sans Lt" w:hAnsi="Azo Sans Lt"/>
          <w:sz w:val="16"/>
          <w:szCs w:val="16"/>
        </w:rPr>
        <w:t xml:space="preserve"> Armijo, M. (2011). Manual 69: Planificación estratégica e indicadores de desempeño en el sector público, ILPES. CEPAL ONU</w:t>
      </w:r>
      <w:r w:rsidRPr="003C4948">
        <w:rPr>
          <w:rFonts w:ascii="Times New Roman" w:hAnsi="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BEC58" w14:textId="34F174BD" w:rsidR="00294015" w:rsidRDefault="003C4948" w:rsidP="00B0166C">
    <w:pPr>
      <w:pStyle w:val="Encabezado"/>
    </w:pPr>
    <w:r>
      <w:rPr>
        <w:noProof/>
        <w:lang w:val="es-ES"/>
      </w:rPr>
      <w:drawing>
        <wp:anchor distT="0" distB="0" distL="114300" distR="114300" simplePos="0" relativeHeight="251660288" behindDoc="0" locked="0" layoutInCell="1" allowOverlap="1" wp14:anchorId="0F562AE9" wp14:editId="60517190">
          <wp:simplePos x="0" y="0"/>
          <wp:positionH relativeFrom="column">
            <wp:posOffset>-475615</wp:posOffset>
          </wp:positionH>
          <wp:positionV relativeFrom="paragraph">
            <wp:posOffset>-385445</wp:posOffset>
          </wp:positionV>
          <wp:extent cx="741045" cy="1226185"/>
          <wp:effectExtent l="0" t="0" r="1905" b="0"/>
          <wp:wrapThrough wrapText="bothSides">
            <wp:wrapPolygon edited="0">
              <wp:start x="0" y="0"/>
              <wp:lineTo x="0" y="21141"/>
              <wp:lineTo x="21100" y="21141"/>
              <wp:lineTo x="21100" y="0"/>
              <wp:lineTo x="0" y="0"/>
            </wp:wrapPolygon>
          </wp:wrapThrough>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sidR="00294015">
      <w:rPr>
        <w:noProof/>
        <w:lang w:val="es-ES"/>
      </w:rPr>
      <mc:AlternateContent>
        <mc:Choice Requires="wps">
          <w:drawing>
            <wp:anchor distT="0" distB="0" distL="114300" distR="114300" simplePos="0" relativeHeight="251657216" behindDoc="0" locked="0" layoutInCell="1" allowOverlap="1" wp14:anchorId="5E412F92" wp14:editId="765571B9">
              <wp:simplePos x="0" y="0"/>
              <wp:positionH relativeFrom="margin">
                <wp:posOffset>2572072</wp:posOffset>
              </wp:positionH>
              <wp:positionV relativeFrom="paragraph">
                <wp:posOffset>-40977</wp:posOffset>
              </wp:positionV>
              <wp:extent cx="3526790" cy="277495"/>
              <wp:effectExtent l="0" t="0" r="0" b="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679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01B3" w14:textId="266AF61C" w:rsidR="00294015" w:rsidRPr="00BA4128" w:rsidRDefault="00294015" w:rsidP="00B0166C">
                          <w:pPr>
                            <w:rPr>
                              <w:rFonts w:ascii="Azo Sans Lt" w:hAnsi="Azo Sans Lt"/>
                              <w:b/>
                              <w:sz w:val="22"/>
                              <w:szCs w:val="22"/>
                            </w:rPr>
                          </w:pPr>
                          <w:r w:rsidRPr="00BA4128">
                            <w:rPr>
                              <w:rFonts w:ascii="Azo Sans Lt" w:hAnsi="Azo Sans Lt"/>
                              <w:b/>
                              <w:sz w:val="22"/>
                              <w:szCs w:val="22"/>
                            </w:rPr>
                            <w:t>Manual de Programación y Presupuestación 2</w:t>
                          </w:r>
                          <w:r w:rsidR="002C0532" w:rsidRPr="00BA4128">
                            <w:rPr>
                              <w:rFonts w:ascii="Azo Sans Lt" w:hAnsi="Azo Sans Lt"/>
                              <w:b/>
                              <w:sz w:val="22"/>
                              <w:szCs w:val="22"/>
                            </w:rPr>
                            <w:t>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E412F92" id="_x0000_t202" coordsize="21600,21600" o:spt="202" path="m,l,21600r21600,l21600,xe">
              <v:stroke joinstyle="miter"/>
              <v:path gradientshapeok="t" o:connecttype="rect"/>
            </v:shapetype>
            <v:shape id="Cuadro de texto 21" o:spid="_x0000_s1041" type="#_x0000_t202" style="position:absolute;margin-left:202.55pt;margin-top:-3.25pt;width:277.7pt;height:21.85pt;z-index:251657216;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DJGuQIAAMIFAAAOAAAAZHJzL2Uyb0RvYy54bWysVNtu2zAMfR+wfxD07vpS5WKjTtHG8TCg&#10;uwDdPkCx5FiYLXmSEqcr9u+j5CRNWwwYtvlBkETqkIc85tX1vmvRjmsjlMxxfBFhxGWlmJCbHH/9&#10;UgZzjIylktFWSZ7jB27w9eLtm6uhz3iiGtUyrhGASJMNfY4ba/ssDE3V8I6aC9VzCcZa6Y5aOOpN&#10;yDQdAL1rwySKpuGgNOu1qrgxcFuMRrzw+HXNK/uprg23qM0x5Gb9qv26dmu4uKLZRtO+EdUhDfoX&#10;WXRUSAh6giqopWirxSuoTlRaGVXbi0p1oaprUXHPAdjE0Qs29w3tuecCxTH9qUzm/8FWH3efNRIs&#10;x0mMkaQd9Gi5pUwrxDiyfG8VAguUaehNBt73Pfjb/a3aQ7s9ZdPfqeqbQVItGyo3/EZrNTScMkjT&#10;vwzPno44xoGshw+KQTi6tcoD7WvduRpCVRCgQ7seTi2CRFAFl5eTZDpLwVSBLZnNSDpxyYU0O77u&#10;tbHvuOqQ2+RYgwQ8Ot3dGTu6Hl1cMKlK0bZeBq18dgGY4w3EhqfO5rLwXX1Mo3Q1X81JQJLpKiBR&#10;UQQ35ZIE0zKeTYrLYrks4p8ubkyyRjDGpQtzVFhM/qyDB62P2jhpzKhWMAfnUjJ6s162Gu0oKLz0&#10;36EgZ27h8zR8vYDLC0pxQqLbJA3K6XwWkJJMgnQWzYMoTm/TaURSUpTPKd0Jyf+dEhpynE6SySim&#10;33KL/PeaG806YWGGtKLL8fzkRDMnwZVkvrWWinbcn5XCpf9UCmj3sdFesE6jo1rtfr0HFKfitWIP&#10;IF2tQFkgQhh8sGmU/oHRAEMkx+b7lmqOUftegvzTmBA3dfyBTGYJHPS5ZX1uobICqBxbjMbt0o6T&#10;attrsWkg0vGHu4FfphRezU9ZARV3gEHhSR2GmptE52fv9TR6F78AAAD//wMAUEsDBBQABgAIAAAA&#10;IQCcjjfB3wAAAAkBAAAPAAAAZHJzL2Rvd25yZXYueG1sTI/LTsMwEEX3SPyDNUjsWruBphAyqSrU&#10;lmWhRKzdeEgi4odsNw1/j1nBbkZzdOfccj3pgY3kQ28NwmIugJFprOpNi1C/72YPwEKURsnBGkL4&#10;pgDr6vqqlIWyF/NG4zG2LIWYUEiELkZXcB6ajrQMc+vIpNun9VrGtPqWKy8vKVwPPBMi51r2Jn3o&#10;pKPnjpqv41kjuOj2qxd/eN1sd6OoP/Z11rdbxNubafMELNIU/2D41U/qUCWnkz0bFdiAcC+Wi4Qi&#10;zPIlsAQ85iINJ4S7VQa8Kvn/BtUPAAAA//8DAFBLAQItABQABgAIAAAAIQC2gziS/gAAAOEBAAAT&#10;AAAAAAAAAAAAAAAAAAAAAABbQ29udGVudF9UeXBlc10ueG1sUEsBAi0AFAAGAAgAAAAhADj9If/W&#10;AAAAlAEAAAsAAAAAAAAAAAAAAAAALwEAAF9yZWxzLy5yZWxzUEsBAi0AFAAGAAgAAAAhAHAIMka5&#10;AgAAwgUAAA4AAAAAAAAAAAAAAAAALgIAAGRycy9lMm9Eb2MueG1sUEsBAi0AFAAGAAgAAAAhAJyO&#10;N8HfAAAACQEAAA8AAAAAAAAAAAAAAAAAEwUAAGRycy9kb3ducmV2LnhtbFBLBQYAAAAABAAEAPMA&#10;AAAfBgAAAAA=&#10;" filled="f" stroked="f">
              <v:textbox style="mso-fit-shape-to-text:t">
                <w:txbxContent>
                  <w:p w14:paraId="307401B3" w14:textId="266AF61C" w:rsidR="00294015" w:rsidRPr="00BA4128" w:rsidRDefault="00294015" w:rsidP="00B0166C">
                    <w:pPr>
                      <w:rPr>
                        <w:rFonts w:ascii="Azo Sans Lt" w:hAnsi="Azo Sans Lt"/>
                        <w:b/>
                        <w:sz w:val="22"/>
                        <w:szCs w:val="22"/>
                      </w:rPr>
                    </w:pPr>
                    <w:r w:rsidRPr="00BA4128">
                      <w:rPr>
                        <w:rFonts w:ascii="Azo Sans Lt" w:hAnsi="Azo Sans Lt"/>
                        <w:b/>
                        <w:sz w:val="22"/>
                        <w:szCs w:val="22"/>
                      </w:rPr>
                      <w:t>Manual de Programación y Presupuestación 2</w:t>
                    </w:r>
                    <w:r w:rsidR="002C0532" w:rsidRPr="00BA4128">
                      <w:rPr>
                        <w:rFonts w:ascii="Azo Sans Lt" w:hAnsi="Azo Sans Lt"/>
                        <w:b/>
                        <w:sz w:val="22"/>
                        <w:szCs w:val="22"/>
                      </w:rPr>
                      <w:t>020</w:t>
                    </w:r>
                  </w:p>
                </w:txbxContent>
              </v:textbox>
              <w10:wrap anchorx="margin"/>
            </v:shape>
          </w:pict>
        </mc:Fallback>
      </mc:AlternateContent>
    </w:r>
  </w:p>
  <w:p w14:paraId="2656D3BF" w14:textId="77777777" w:rsidR="00294015" w:rsidRDefault="00294015" w:rsidP="00B0166C">
    <w:pPr>
      <w:pStyle w:val="Encabezado"/>
    </w:pPr>
    <w:r>
      <w:rPr>
        <w:noProof/>
        <w:lang w:val="es-ES"/>
      </w:rPr>
      <mc:AlternateContent>
        <mc:Choice Requires="wps">
          <w:drawing>
            <wp:anchor distT="0" distB="0" distL="114300" distR="114300" simplePos="0" relativeHeight="251659264" behindDoc="0" locked="0" layoutInCell="1" allowOverlap="1" wp14:anchorId="147D3801" wp14:editId="22DA2BD9">
              <wp:simplePos x="0" y="0"/>
              <wp:positionH relativeFrom="column">
                <wp:posOffset>375920</wp:posOffset>
              </wp:positionH>
              <wp:positionV relativeFrom="paragraph">
                <wp:posOffset>71755</wp:posOffset>
              </wp:positionV>
              <wp:extent cx="5580000" cy="0"/>
              <wp:effectExtent l="0" t="19050" r="40005"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0000"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6BA6FA7" id="_x0000_t32" coordsize="21600,21600" o:spt="32" o:oned="t" path="m,l21600,21600e" filled="f">
              <v:path arrowok="t" fillok="f" o:connecttype="none"/>
              <o:lock v:ext="edit" shapetype="t"/>
            </v:shapetype>
            <v:shape id="Conector recto de flecha 20" o:spid="_x0000_s1026" type="#_x0000_t32" style="position:absolute;margin-left:29.6pt;margin-top:5.65pt;width:439.3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yTL5QIAACsGAAAOAAAAZHJzL2Uyb0RvYy54bWysVN9vmzAQfp+0/8HyOwUS8qNRSdUC2ct+&#10;VGq3PTu2AWtgI9sJiab97zubhDbdSzU1kQCf7z5/992db24PbYP2XBuhZIrjqwgjLqliQlYp/v60&#10;CZYYGUskI42SPMVHbvDt+uOHm75b8YmqVcO4RgAizarvUlxb263C0NCat8RcqY5L2CyVbomFpa5C&#10;pkkP6G0TTqJoHvZKs04ryo0Baz5s4rXHL0tO7beyNNyiJsXAzfqn9s+te4brG7KqNOlqQU80yH+w&#10;aImQcOgIlRNL0E6Lf6BaQbUyqrRXVLWhKktBuc8BsomjV9k81qTjPhcQx3SjTOb9YOnX/YNGgqV4&#10;AvJI0kKNMqgUtUoj7V6IcVQ2nNYEgQvo1XdmBWGZfNAuY3qQj91nRX8ZJFVWE1lxz/vp2AFW7CLC&#10;ixC3MB2cuu2/KAY+ZGeVF+9Q6hbOEt0PF+jAQSB08NU6jtXiB4soGGezZQQ/jOh5LyQrB+ECO23s&#10;J65a5D5SbKwmoqotpDbkNsCT/WdjHcHnABcs1UY0jW+NRqI+xfPpzB/UdiCUkZXnZlQjmHN0Ib5h&#10;edZotCfQaoRSLu3U+zW7FvIc7LFjfOo6sENvDnZvAhYjjOd0cYJLJCemHgL81tC9Wu0k82RrTlgh&#10;GbJeegllxI59yxlGDYf5dF/e0xLRvMUTKDXS5cf9LA1qwepg4dPboRi+z39fR9fFslgmQTKZF0ES&#10;5Xlwt8mSYL6JF7N8mmdZHv9xgsTJqhaMcem0O89cnLytp0/TP0zLOHVjwcJLdK8ikL1kereZRYtk&#10;ugwWi9k0SKZFFNwvN1lwl8Xz+aK4z+6LV0wLn715H7KjlI6V2lmuH2vWIyZco05n15MYwwLuqMli&#10;6BZEmgqKR63GSCv7U9jaT5ibCIdhdLUdO285d38/dS/QByHONXSrsQqn3J6lgpqf6+sH183qMPVb&#10;xY4P2s2Lm2G4kXzQ6fZ0V97Ltfd6vuPXfwEAAP//AwBQSwMEFAAGAAgAAAAhAJD8qXzdAAAACAEA&#10;AA8AAABkcnMvZG93bnJldi54bWxMj0FLw0AQhe9C/8MyBS9iN21Rm5hNKYLgRaS1BLxts2M2bXY2&#10;ZLdp/PeOeNDjvPfx5r18PbpWDNiHxpOC+SwBgVR501CtYP/+fLsCEaImo1tPqOALA6yLyVWuM+Mv&#10;tMVhF2vBIRQyrcDG2GVShsqi02HmOyT2Pn3vdOSzr6Xp9YXDXSsXSXIvnW6IP1jd4ZPF6rQ7OwU3&#10;I76U5fGt3A/HjxXjsbOvRqnr6bh5BBFxjH8w/NTn6lBwp4M/kwmiVXCXLphkfb4EwX66fEhBHH4F&#10;WeTy/4DiGwAA//8DAFBLAQItABQABgAIAAAAIQC2gziS/gAAAOEBAAATAAAAAAAAAAAAAAAAAAAA&#10;AABbQ29udGVudF9UeXBlc10ueG1sUEsBAi0AFAAGAAgAAAAhADj9If/WAAAAlAEAAAsAAAAAAAAA&#10;AAAAAAAALwEAAF9yZWxzLy5yZWxzUEsBAi0AFAAGAAgAAAAhALQXJMvlAgAAKwYAAA4AAAAAAAAA&#10;AAAAAAAALgIAAGRycy9lMm9Eb2MueG1sUEsBAi0AFAAGAAgAAAAhAJD8qXzdAAAACAEAAA8AAAAA&#10;AAAAAAAAAAAAPwUAAGRycy9kb3ducmV2LnhtbFBLBQYAAAAABAAEAPMAAABJBgAAAAA=&#10;" strokecolor="#9bbb59 [3206]" strokeweight="5pt">
              <v:shadow color="#868686"/>
            </v:shape>
          </w:pict>
        </mc:Fallback>
      </mc:AlternateContent>
    </w:r>
  </w:p>
  <w:p w14:paraId="6C060FE4" w14:textId="77777777" w:rsidR="00294015" w:rsidRDefault="002940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180D"/>
    <w:multiLevelType w:val="hybridMultilevel"/>
    <w:tmpl w:val="E5322C1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53825"/>
    <w:multiLevelType w:val="hybridMultilevel"/>
    <w:tmpl w:val="DAAEEFFA"/>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81DA1976">
      <w:start w:val="1"/>
      <w:numFmt w:val="decimal"/>
      <w:lvlText w:val="%3)"/>
      <w:lvlJc w:val="left"/>
      <w:pPr>
        <w:ind w:left="2505" w:hanging="705"/>
      </w:pPr>
      <w:rPr>
        <w:rFonts w:hint="default"/>
      </w:rPr>
    </w:lvl>
    <w:lvl w:ilvl="3" w:tplc="572C8CA8">
      <w:start w:val="1"/>
      <w:numFmt w:val="decimal"/>
      <w:lvlText w:val="%4."/>
      <w:lvlJc w:val="left"/>
      <w:pPr>
        <w:ind w:left="3225" w:hanging="705"/>
      </w:pPr>
      <w:rPr>
        <w:rFonts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5A30BE"/>
    <w:multiLevelType w:val="multilevel"/>
    <w:tmpl w:val="F2D0C2E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cs="Times New Roman" w:hint="default"/>
        <w:sz w:val="22"/>
      </w:rPr>
    </w:lvl>
    <w:lvl w:ilvl="2">
      <w:start w:val="1"/>
      <w:numFmt w:val="decimal"/>
      <w:isLgl/>
      <w:lvlText w:val="%1.%2.%3."/>
      <w:lvlJc w:val="left"/>
      <w:pPr>
        <w:ind w:left="1440" w:hanging="720"/>
      </w:pPr>
      <w:rPr>
        <w:rFonts w:cs="Times New Roman" w:hint="default"/>
        <w:sz w:val="22"/>
      </w:rPr>
    </w:lvl>
    <w:lvl w:ilvl="3">
      <w:start w:val="1"/>
      <w:numFmt w:val="decimal"/>
      <w:isLgl/>
      <w:lvlText w:val="%1.%2.%3.%4."/>
      <w:lvlJc w:val="left"/>
      <w:pPr>
        <w:ind w:left="1800" w:hanging="1080"/>
      </w:pPr>
      <w:rPr>
        <w:rFonts w:cs="Times New Roman" w:hint="default"/>
        <w:sz w:val="22"/>
      </w:rPr>
    </w:lvl>
    <w:lvl w:ilvl="4">
      <w:start w:val="1"/>
      <w:numFmt w:val="decimal"/>
      <w:isLgl/>
      <w:lvlText w:val="%1.%2.%3.%4.%5."/>
      <w:lvlJc w:val="left"/>
      <w:pPr>
        <w:ind w:left="1800" w:hanging="1080"/>
      </w:pPr>
      <w:rPr>
        <w:rFonts w:cs="Times New Roman" w:hint="default"/>
        <w:sz w:val="22"/>
      </w:rPr>
    </w:lvl>
    <w:lvl w:ilvl="5">
      <w:start w:val="1"/>
      <w:numFmt w:val="decimal"/>
      <w:isLgl/>
      <w:lvlText w:val="%1.%2.%3.%4.%5.%6."/>
      <w:lvlJc w:val="left"/>
      <w:pPr>
        <w:ind w:left="2160" w:hanging="1440"/>
      </w:pPr>
      <w:rPr>
        <w:rFonts w:cs="Times New Roman" w:hint="default"/>
        <w:sz w:val="22"/>
      </w:rPr>
    </w:lvl>
    <w:lvl w:ilvl="6">
      <w:start w:val="1"/>
      <w:numFmt w:val="decimal"/>
      <w:isLgl/>
      <w:lvlText w:val="%1.%2.%3.%4.%5.%6.%7."/>
      <w:lvlJc w:val="left"/>
      <w:pPr>
        <w:ind w:left="2160" w:hanging="1440"/>
      </w:pPr>
      <w:rPr>
        <w:rFonts w:cs="Times New Roman" w:hint="default"/>
        <w:sz w:val="22"/>
      </w:rPr>
    </w:lvl>
    <w:lvl w:ilvl="7">
      <w:start w:val="1"/>
      <w:numFmt w:val="decimal"/>
      <w:isLgl/>
      <w:lvlText w:val="%1.%2.%3.%4.%5.%6.%7.%8."/>
      <w:lvlJc w:val="left"/>
      <w:pPr>
        <w:ind w:left="2520" w:hanging="1800"/>
      </w:pPr>
      <w:rPr>
        <w:rFonts w:cs="Times New Roman" w:hint="default"/>
        <w:sz w:val="22"/>
      </w:rPr>
    </w:lvl>
    <w:lvl w:ilvl="8">
      <w:start w:val="1"/>
      <w:numFmt w:val="decimal"/>
      <w:isLgl/>
      <w:lvlText w:val="%1.%2.%3.%4.%5.%6.%7.%8.%9."/>
      <w:lvlJc w:val="left"/>
      <w:pPr>
        <w:ind w:left="2520" w:hanging="1800"/>
      </w:pPr>
      <w:rPr>
        <w:rFonts w:cs="Times New Roman" w:hint="default"/>
        <w:sz w:val="22"/>
      </w:rPr>
    </w:lvl>
  </w:abstractNum>
  <w:abstractNum w:abstractNumId="4" w15:restartNumberingAfterBreak="0">
    <w:nsid w:val="0EEB028C"/>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4C7902"/>
    <w:multiLevelType w:val="hybridMultilevel"/>
    <w:tmpl w:val="4E9AE2C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E5895"/>
    <w:multiLevelType w:val="hybridMultilevel"/>
    <w:tmpl w:val="E8D6E390"/>
    <w:lvl w:ilvl="0" w:tplc="080A000F">
      <w:start w:val="1"/>
      <w:numFmt w:val="decimal"/>
      <w:lvlText w:val="%1."/>
      <w:lvlJc w:val="left"/>
      <w:pPr>
        <w:ind w:left="2340" w:hanging="360"/>
      </w:pPr>
    </w:lvl>
    <w:lvl w:ilvl="1" w:tplc="8E82A39C">
      <w:start w:val="1"/>
      <w:numFmt w:val="lowerLetter"/>
      <w:lvlText w:val="%2)"/>
      <w:lvlJc w:val="left"/>
      <w:pPr>
        <w:ind w:left="3405" w:hanging="705"/>
      </w:pPr>
      <w:rPr>
        <w:rFonts w:hint="default"/>
      </w:r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8" w15:restartNumberingAfterBreak="0">
    <w:nsid w:val="14192D79"/>
    <w:multiLevelType w:val="hybridMultilevel"/>
    <w:tmpl w:val="A60ED72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7414EBD"/>
    <w:multiLevelType w:val="hybridMultilevel"/>
    <w:tmpl w:val="C8C608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D630E69"/>
    <w:multiLevelType w:val="hybridMultilevel"/>
    <w:tmpl w:val="9282F69A"/>
    <w:lvl w:ilvl="0" w:tplc="BAE6C1FC">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DF5607"/>
    <w:multiLevelType w:val="hybridMultilevel"/>
    <w:tmpl w:val="19CAB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CBD15E7"/>
    <w:multiLevelType w:val="multilevel"/>
    <w:tmpl w:val="C98ECAE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DE202F8"/>
    <w:multiLevelType w:val="hybridMultilevel"/>
    <w:tmpl w:val="02F003A8"/>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2EC03B24"/>
    <w:multiLevelType w:val="hybridMultilevel"/>
    <w:tmpl w:val="2FA67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FD12919"/>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9512840"/>
    <w:multiLevelType w:val="multilevel"/>
    <w:tmpl w:val="9B44F2E4"/>
    <w:lvl w:ilvl="0">
      <w:start w:val="1"/>
      <w:numFmt w:val="decimal"/>
      <w:lvlText w:val="%1."/>
      <w:lvlJc w:val="left"/>
      <w:pPr>
        <w:ind w:left="360" w:hanging="36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7" w15:restartNumberingAfterBreak="0">
    <w:nsid w:val="401944C2"/>
    <w:multiLevelType w:val="multilevel"/>
    <w:tmpl w:val="247627D2"/>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4401ABB"/>
    <w:multiLevelType w:val="hybridMultilevel"/>
    <w:tmpl w:val="FA984020"/>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FF944A1"/>
    <w:multiLevelType w:val="multilevel"/>
    <w:tmpl w:val="17CC4CDC"/>
    <w:lvl w:ilvl="0">
      <w:start w:val="1"/>
      <w:numFmt w:val="upperRoman"/>
      <w:lvlText w:val="%1."/>
      <w:lvlJc w:val="left"/>
      <w:pPr>
        <w:ind w:left="1080" w:hanging="72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EC2805"/>
    <w:multiLevelType w:val="hybridMultilevel"/>
    <w:tmpl w:val="24FAEA18"/>
    <w:lvl w:ilvl="0" w:tplc="080A0005">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E5927"/>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3262728"/>
    <w:multiLevelType w:val="hybridMultilevel"/>
    <w:tmpl w:val="9FCA9D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39E2D7C"/>
    <w:multiLevelType w:val="hybridMultilevel"/>
    <w:tmpl w:val="F03482D8"/>
    <w:lvl w:ilvl="0" w:tplc="FEACB090">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6" w15:restartNumberingAfterBreak="0">
    <w:nsid w:val="591662E4"/>
    <w:multiLevelType w:val="hybridMultilevel"/>
    <w:tmpl w:val="496C2FD2"/>
    <w:lvl w:ilvl="0" w:tplc="DFAEA6C4">
      <w:start w:val="1"/>
      <w:numFmt w:val="bullet"/>
      <w:lvlText w:val=""/>
      <w:lvlJc w:val="left"/>
      <w:pPr>
        <w:tabs>
          <w:tab w:val="num" w:pos="2520"/>
        </w:tabs>
        <w:ind w:left="25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DD30BD"/>
    <w:multiLevelType w:val="hybridMultilevel"/>
    <w:tmpl w:val="1166DACE"/>
    <w:lvl w:ilvl="0" w:tplc="080A0001">
      <w:start w:val="1"/>
      <w:numFmt w:val="bullet"/>
      <w:lvlText w:val=""/>
      <w:lvlJc w:val="left"/>
      <w:pPr>
        <w:ind w:left="1305" w:hanging="360"/>
      </w:pPr>
      <w:rPr>
        <w:rFonts w:ascii="Symbol" w:hAnsi="Symbol" w:hint="default"/>
      </w:rPr>
    </w:lvl>
    <w:lvl w:ilvl="1" w:tplc="080A0003" w:tentative="1">
      <w:start w:val="1"/>
      <w:numFmt w:val="bullet"/>
      <w:lvlText w:val="o"/>
      <w:lvlJc w:val="left"/>
      <w:pPr>
        <w:ind w:left="2025" w:hanging="360"/>
      </w:pPr>
      <w:rPr>
        <w:rFonts w:ascii="Courier New" w:hAnsi="Courier New" w:cs="Courier New" w:hint="default"/>
      </w:rPr>
    </w:lvl>
    <w:lvl w:ilvl="2" w:tplc="080A0005" w:tentative="1">
      <w:start w:val="1"/>
      <w:numFmt w:val="bullet"/>
      <w:lvlText w:val=""/>
      <w:lvlJc w:val="left"/>
      <w:pPr>
        <w:ind w:left="2745" w:hanging="360"/>
      </w:pPr>
      <w:rPr>
        <w:rFonts w:ascii="Wingdings" w:hAnsi="Wingdings" w:hint="default"/>
      </w:rPr>
    </w:lvl>
    <w:lvl w:ilvl="3" w:tplc="080A0001" w:tentative="1">
      <w:start w:val="1"/>
      <w:numFmt w:val="bullet"/>
      <w:lvlText w:val=""/>
      <w:lvlJc w:val="left"/>
      <w:pPr>
        <w:ind w:left="3465" w:hanging="360"/>
      </w:pPr>
      <w:rPr>
        <w:rFonts w:ascii="Symbol" w:hAnsi="Symbol" w:hint="default"/>
      </w:rPr>
    </w:lvl>
    <w:lvl w:ilvl="4" w:tplc="080A0003" w:tentative="1">
      <w:start w:val="1"/>
      <w:numFmt w:val="bullet"/>
      <w:lvlText w:val="o"/>
      <w:lvlJc w:val="left"/>
      <w:pPr>
        <w:ind w:left="4185" w:hanging="360"/>
      </w:pPr>
      <w:rPr>
        <w:rFonts w:ascii="Courier New" w:hAnsi="Courier New" w:cs="Courier New" w:hint="default"/>
      </w:rPr>
    </w:lvl>
    <w:lvl w:ilvl="5" w:tplc="080A0005" w:tentative="1">
      <w:start w:val="1"/>
      <w:numFmt w:val="bullet"/>
      <w:lvlText w:val=""/>
      <w:lvlJc w:val="left"/>
      <w:pPr>
        <w:ind w:left="4905" w:hanging="360"/>
      </w:pPr>
      <w:rPr>
        <w:rFonts w:ascii="Wingdings" w:hAnsi="Wingdings" w:hint="default"/>
      </w:rPr>
    </w:lvl>
    <w:lvl w:ilvl="6" w:tplc="080A0001" w:tentative="1">
      <w:start w:val="1"/>
      <w:numFmt w:val="bullet"/>
      <w:lvlText w:val=""/>
      <w:lvlJc w:val="left"/>
      <w:pPr>
        <w:ind w:left="5625" w:hanging="360"/>
      </w:pPr>
      <w:rPr>
        <w:rFonts w:ascii="Symbol" w:hAnsi="Symbol" w:hint="default"/>
      </w:rPr>
    </w:lvl>
    <w:lvl w:ilvl="7" w:tplc="080A0003" w:tentative="1">
      <w:start w:val="1"/>
      <w:numFmt w:val="bullet"/>
      <w:lvlText w:val="o"/>
      <w:lvlJc w:val="left"/>
      <w:pPr>
        <w:ind w:left="6345" w:hanging="360"/>
      </w:pPr>
      <w:rPr>
        <w:rFonts w:ascii="Courier New" w:hAnsi="Courier New" w:cs="Courier New" w:hint="default"/>
      </w:rPr>
    </w:lvl>
    <w:lvl w:ilvl="8" w:tplc="080A0005" w:tentative="1">
      <w:start w:val="1"/>
      <w:numFmt w:val="bullet"/>
      <w:lvlText w:val=""/>
      <w:lvlJc w:val="left"/>
      <w:pPr>
        <w:ind w:left="7065" w:hanging="360"/>
      </w:pPr>
      <w:rPr>
        <w:rFonts w:ascii="Wingdings" w:hAnsi="Wingdings" w:hint="default"/>
      </w:rPr>
    </w:lvl>
  </w:abstractNum>
  <w:abstractNum w:abstractNumId="28" w15:restartNumberingAfterBreak="0">
    <w:nsid w:val="6EE50DCE"/>
    <w:multiLevelType w:val="hybridMultilevel"/>
    <w:tmpl w:val="825ECC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5B20989"/>
    <w:multiLevelType w:val="hybridMultilevel"/>
    <w:tmpl w:val="36B88206"/>
    <w:lvl w:ilvl="0" w:tplc="B7D02B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7BB0D0B"/>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BCD3FF7"/>
    <w:multiLevelType w:val="hybridMultilevel"/>
    <w:tmpl w:val="E0CC6DBE"/>
    <w:lvl w:ilvl="0" w:tplc="6D40C014">
      <w:start w:val="1"/>
      <w:numFmt w:val="decimal"/>
      <w:lvlText w:val="%1."/>
      <w:lvlJc w:val="left"/>
      <w:pPr>
        <w:tabs>
          <w:tab w:val="num" w:pos="720"/>
        </w:tabs>
        <w:ind w:left="720" w:hanging="360"/>
      </w:pPr>
      <w:rPr>
        <w:rFonts w:ascii="Tahoma" w:hAnsi="Tahoma" w:hint="default"/>
        <w:b w:val="0"/>
        <w:i w:val="0"/>
        <w:color w:val="auto"/>
        <w:sz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1"/>
  </w:num>
  <w:num w:numId="2">
    <w:abstractNumId w:val="6"/>
  </w:num>
  <w:num w:numId="3">
    <w:abstractNumId w:val="26"/>
  </w:num>
  <w:num w:numId="4">
    <w:abstractNumId w:val="15"/>
  </w:num>
  <w:num w:numId="5">
    <w:abstractNumId w:val="27"/>
  </w:num>
  <w:num w:numId="6">
    <w:abstractNumId w:val="30"/>
  </w:num>
  <w:num w:numId="7">
    <w:abstractNumId w:val="23"/>
  </w:num>
  <w:num w:numId="8">
    <w:abstractNumId w:val="4"/>
  </w:num>
  <w:num w:numId="9">
    <w:abstractNumId w:val="22"/>
  </w:num>
  <w:num w:numId="10">
    <w:abstractNumId w:val="1"/>
  </w:num>
  <w:num w:numId="11">
    <w:abstractNumId w:val="19"/>
  </w:num>
  <w:num w:numId="12">
    <w:abstractNumId w:val="8"/>
  </w:num>
  <w:num w:numId="13">
    <w:abstractNumId w:val="2"/>
  </w:num>
  <w:num w:numId="14">
    <w:abstractNumId w:val="7"/>
  </w:num>
  <w:num w:numId="15">
    <w:abstractNumId w:val="18"/>
  </w:num>
  <w:num w:numId="16">
    <w:abstractNumId w:val="9"/>
  </w:num>
  <w:num w:numId="17">
    <w:abstractNumId w:val="0"/>
  </w:num>
  <w:num w:numId="18">
    <w:abstractNumId w:val="24"/>
  </w:num>
  <w:num w:numId="19">
    <w:abstractNumId w:val="29"/>
  </w:num>
  <w:num w:numId="20">
    <w:abstractNumId w:val="14"/>
  </w:num>
  <w:num w:numId="21">
    <w:abstractNumId w:val="11"/>
  </w:num>
  <w:num w:numId="22">
    <w:abstractNumId w:val="20"/>
  </w:num>
  <w:num w:numId="23">
    <w:abstractNumId w:val="10"/>
  </w:num>
  <w:num w:numId="24">
    <w:abstractNumId w:val="21"/>
  </w:num>
  <w:num w:numId="25">
    <w:abstractNumId w:val="25"/>
  </w:num>
  <w:num w:numId="26">
    <w:abstractNumId w:val="28"/>
  </w:num>
  <w:num w:numId="27">
    <w:abstractNumId w:val="17"/>
  </w:num>
  <w:num w:numId="28">
    <w:abstractNumId w:val="3"/>
  </w:num>
  <w:num w:numId="29">
    <w:abstractNumId w:val="13"/>
  </w:num>
  <w:num w:numId="30">
    <w:abstractNumId w:val="5"/>
  </w:num>
  <w:num w:numId="31">
    <w:abstractNumId w:val="12"/>
  </w:num>
  <w:num w:numId="3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16E1"/>
    <w:rsid w:val="00006774"/>
    <w:rsid w:val="00006ABC"/>
    <w:rsid w:val="00012612"/>
    <w:rsid w:val="00012D30"/>
    <w:rsid w:val="00017181"/>
    <w:rsid w:val="00020677"/>
    <w:rsid w:val="00020AB9"/>
    <w:rsid w:val="00021E86"/>
    <w:rsid w:val="000220EE"/>
    <w:rsid w:val="000259AC"/>
    <w:rsid w:val="000318F8"/>
    <w:rsid w:val="000322B8"/>
    <w:rsid w:val="00035332"/>
    <w:rsid w:val="00037828"/>
    <w:rsid w:val="00044538"/>
    <w:rsid w:val="00045289"/>
    <w:rsid w:val="0004799F"/>
    <w:rsid w:val="00057580"/>
    <w:rsid w:val="00067C87"/>
    <w:rsid w:val="00073E50"/>
    <w:rsid w:val="0007416C"/>
    <w:rsid w:val="0008121D"/>
    <w:rsid w:val="0008587F"/>
    <w:rsid w:val="00085A13"/>
    <w:rsid w:val="00094476"/>
    <w:rsid w:val="00096124"/>
    <w:rsid w:val="00096E77"/>
    <w:rsid w:val="000A2FE8"/>
    <w:rsid w:val="000A4D72"/>
    <w:rsid w:val="000A6069"/>
    <w:rsid w:val="000A6539"/>
    <w:rsid w:val="000B0003"/>
    <w:rsid w:val="000B2377"/>
    <w:rsid w:val="000B410F"/>
    <w:rsid w:val="000B5558"/>
    <w:rsid w:val="000B57BF"/>
    <w:rsid w:val="000B76C3"/>
    <w:rsid w:val="000C28EC"/>
    <w:rsid w:val="000C331B"/>
    <w:rsid w:val="000C416A"/>
    <w:rsid w:val="000D1682"/>
    <w:rsid w:val="000D6238"/>
    <w:rsid w:val="000E065C"/>
    <w:rsid w:val="000E1566"/>
    <w:rsid w:val="000E1F7B"/>
    <w:rsid w:val="000E25EE"/>
    <w:rsid w:val="000E5145"/>
    <w:rsid w:val="000E5690"/>
    <w:rsid w:val="000F62E0"/>
    <w:rsid w:val="00106F6C"/>
    <w:rsid w:val="00110774"/>
    <w:rsid w:val="00111BD4"/>
    <w:rsid w:val="00113C86"/>
    <w:rsid w:val="001166D4"/>
    <w:rsid w:val="00116823"/>
    <w:rsid w:val="00116EA9"/>
    <w:rsid w:val="0012048F"/>
    <w:rsid w:val="0012055C"/>
    <w:rsid w:val="00122477"/>
    <w:rsid w:val="001270AB"/>
    <w:rsid w:val="0013365D"/>
    <w:rsid w:val="001357F2"/>
    <w:rsid w:val="00135AFD"/>
    <w:rsid w:val="001404E3"/>
    <w:rsid w:val="00140BFA"/>
    <w:rsid w:val="00143AE8"/>
    <w:rsid w:val="0014413B"/>
    <w:rsid w:val="00145B23"/>
    <w:rsid w:val="0014707F"/>
    <w:rsid w:val="00147AB4"/>
    <w:rsid w:val="00152056"/>
    <w:rsid w:val="00153C59"/>
    <w:rsid w:val="00155A00"/>
    <w:rsid w:val="00157BE2"/>
    <w:rsid w:val="0016084C"/>
    <w:rsid w:val="001626F0"/>
    <w:rsid w:val="001636B2"/>
    <w:rsid w:val="00164BFB"/>
    <w:rsid w:val="00170774"/>
    <w:rsid w:val="0017227A"/>
    <w:rsid w:val="001727BD"/>
    <w:rsid w:val="001746D7"/>
    <w:rsid w:val="00174915"/>
    <w:rsid w:val="00175726"/>
    <w:rsid w:val="00176852"/>
    <w:rsid w:val="00181056"/>
    <w:rsid w:val="00183314"/>
    <w:rsid w:val="00185317"/>
    <w:rsid w:val="00191D2B"/>
    <w:rsid w:val="00195997"/>
    <w:rsid w:val="0019665E"/>
    <w:rsid w:val="00197292"/>
    <w:rsid w:val="0019784D"/>
    <w:rsid w:val="001A21BA"/>
    <w:rsid w:val="001A22EC"/>
    <w:rsid w:val="001A37F1"/>
    <w:rsid w:val="001B1BC5"/>
    <w:rsid w:val="001B1ED1"/>
    <w:rsid w:val="001B3FCB"/>
    <w:rsid w:val="001C75E4"/>
    <w:rsid w:val="001C7AC8"/>
    <w:rsid w:val="001D2D25"/>
    <w:rsid w:val="001D36D5"/>
    <w:rsid w:val="001D58B2"/>
    <w:rsid w:val="001D6DE3"/>
    <w:rsid w:val="001D7E1E"/>
    <w:rsid w:val="001E28EE"/>
    <w:rsid w:val="001E71FD"/>
    <w:rsid w:val="001F1778"/>
    <w:rsid w:val="00200673"/>
    <w:rsid w:val="0020105D"/>
    <w:rsid w:val="002022CE"/>
    <w:rsid w:val="002039F7"/>
    <w:rsid w:val="00205DC3"/>
    <w:rsid w:val="0021148F"/>
    <w:rsid w:val="00214BD2"/>
    <w:rsid w:val="00223853"/>
    <w:rsid w:val="00226319"/>
    <w:rsid w:val="00236CFD"/>
    <w:rsid w:val="00240BB7"/>
    <w:rsid w:val="00244B5C"/>
    <w:rsid w:val="00244CBA"/>
    <w:rsid w:val="00247F5D"/>
    <w:rsid w:val="00250E8A"/>
    <w:rsid w:val="002534D8"/>
    <w:rsid w:val="0025405C"/>
    <w:rsid w:val="002558AF"/>
    <w:rsid w:val="00262A0C"/>
    <w:rsid w:val="00270021"/>
    <w:rsid w:val="00275051"/>
    <w:rsid w:val="0027574E"/>
    <w:rsid w:val="00281014"/>
    <w:rsid w:val="00282FE4"/>
    <w:rsid w:val="0028376D"/>
    <w:rsid w:val="00285091"/>
    <w:rsid w:val="00286763"/>
    <w:rsid w:val="0028759A"/>
    <w:rsid w:val="00287F52"/>
    <w:rsid w:val="00294015"/>
    <w:rsid w:val="002A4266"/>
    <w:rsid w:val="002B2A3E"/>
    <w:rsid w:val="002B512B"/>
    <w:rsid w:val="002B65D4"/>
    <w:rsid w:val="002C0281"/>
    <w:rsid w:val="002C0532"/>
    <w:rsid w:val="002C6B27"/>
    <w:rsid w:val="002D5C72"/>
    <w:rsid w:val="002E0F6C"/>
    <w:rsid w:val="002E24DE"/>
    <w:rsid w:val="002E3E8D"/>
    <w:rsid w:val="002E544D"/>
    <w:rsid w:val="002E60E1"/>
    <w:rsid w:val="002E63B1"/>
    <w:rsid w:val="002F1445"/>
    <w:rsid w:val="002F4FA2"/>
    <w:rsid w:val="0030187B"/>
    <w:rsid w:val="00305B5C"/>
    <w:rsid w:val="003108B1"/>
    <w:rsid w:val="00311778"/>
    <w:rsid w:val="003129BA"/>
    <w:rsid w:val="00315746"/>
    <w:rsid w:val="0032104E"/>
    <w:rsid w:val="0032465E"/>
    <w:rsid w:val="00326FB7"/>
    <w:rsid w:val="0033037C"/>
    <w:rsid w:val="00330CDC"/>
    <w:rsid w:val="00331A7D"/>
    <w:rsid w:val="00333420"/>
    <w:rsid w:val="003438A3"/>
    <w:rsid w:val="0034405B"/>
    <w:rsid w:val="00345A06"/>
    <w:rsid w:val="00351CDA"/>
    <w:rsid w:val="00352BC0"/>
    <w:rsid w:val="003643FB"/>
    <w:rsid w:val="00364DA9"/>
    <w:rsid w:val="003662AF"/>
    <w:rsid w:val="00367335"/>
    <w:rsid w:val="00373756"/>
    <w:rsid w:val="00373C3A"/>
    <w:rsid w:val="003767E1"/>
    <w:rsid w:val="00377311"/>
    <w:rsid w:val="00381DA5"/>
    <w:rsid w:val="00384D19"/>
    <w:rsid w:val="00387BE5"/>
    <w:rsid w:val="003914BB"/>
    <w:rsid w:val="00393D2D"/>
    <w:rsid w:val="00396131"/>
    <w:rsid w:val="00397B4B"/>
    <w:rsid w:val="003A0D2D"/>
    <w:rsid w:val="003A5B67"/>
    <w:rsid w:val="003B5C34"/>
    <w:rsid w:val="003C0653"/>
    <w:rsid w:val="003C21DC"/>
    <w:rsid w:val="003C4948"/>
    <w:rsid w:val="003C4F0E"/>
    <w:rsid w:val="003C5E5F"/>
    <w:rsid w:val="003D3477"/>
    <w:rsid w:val="003D6AE6"/>
    <w:rsid w:val="003E3B18"/>
    <w:rsid w:val="003E4BFC"/>
    <w:rsid w:val="003E5652"/>
    <w:rsid w:val="003F20BF"/>
    <w:rsid w:val="003F50C4"/>
    <w:rsid w:val="003F69AB"/>
    <w:rsid w:val="00400F6D"/>
    <w:rsid w:val="004024D2"/>
    <w:rsid w:val="00404ABB"/>
    <w:rsid w:val="00405920"/>
    <w:rsid w:val="004102B0"/>
    <w:rsid w:val="00413015"/>
    <w:rsid w:val="00414305"/>
    <w:rsid w:val="00422F79"/>
    <w:rsid w:val="0043185B"/>
    <w:rsid w:val="0044118D"/>
    <w:rsid w:val="00451570"/>
    <w:rsid w:val="00453F22"/>
    <w:rsid w:val="004548EA"/>
    <w:rsid w:val="00454F6F"/>
    <w:rsid w:val="004566B4"/>
    <w:rsid w:val="00456D62"/>
    <w:rsid w:val="00464907"/>
    <w:rsid w:val="00467766"/>
    <w:rsid w:val="0047129A"/>
    <w:rsid w:val="00474186"/>
    <w:rsid w:val="004748E9"/>
    <w:rsid w:val="004764AD"/>
    <w:rsid w:val="004766C2"/>
    <w:rsid w:val="004808AB"/>
    <w:rsid w:val="00483ACE"/>
    <w:rsid w:val="004840A5"/>
    <w:rsid w:val="004850A9"/>
    <w:rsid w:val="00486582"/>
    <w:rsid w:val="00486CF0"/>
    <w:rsid w:val="004877C4"/>
    <w:rsid w:val="00490A0D"/>
    <w:rsid w:val="00491D78"/>
    <w:rsid w:val="0049562C"/>
    <w:rsid w:val="004A5AA7"/>
    <w:rsid w:val="004B121B"/>
    <w:rsid w:val="004B2020"/>
    <w:rsid w:val="004B4988"/>
    <w:rsid w:val="004C2A64"/>
    <w:rsid w:val="004C2E9F"/>
    <w:rsid w:val="004C3A29"/>
    <w:rsid w:val="004D38FF"/>
    <w:rsid w:val="004D5A6A"/>
    <w:rsid w:val="004D72EE"/>
    <w:rsid w:val="004D7403"/>
    <w:rsid w:val="004D7535"/>
    <w:rsid w:val="004D7D7C"/>
    <w:rsid w:val="004E005F"/>
    <w:rsid w:val="004E0433"/>
    <w:rsid w:val="004E0F28"/>
    <w:rsid w:val="004F19C4"/>
    <w:rsid w:val="004F535E"/>
    <w:rsid w:val="0050382F"/>
    <w:rsid w:val="005053B1"/>
    <w:rsid w:val="005065FF"/>
    <w:rsid w:val="005100F5"/>
    <w:rsid w:val="0051447F"/>
    <w:rsid w:val="00517EBF"/>
    <w:rsid w:val="0053051B"/>
    <w:rsid w:val="00531D4F"/>
    <w:rsid w:val="00545A0A"/>
    <w:rsid w:val="0055379B"/>
    <w:rsid w:val="00554746"/>
    <w:rsid w:val="0055662B"/>
    <w:rsid w:val="00561275"/>
    <w:rsid w:val="00561627"/>
    <w:rsid w:val="00562EAC"/>
    <w:rsid w:val="00573F91"/>
    <w:rsid w:val="0057428C"/>
    <w:rsid w:val="005744C5"/>
    <w:rsid w:val="00580FF6"/>
    <w:rsid w:val="005845F6"/>
    <w:rsid w:val="0059269C"/>
    <w:rsid w:val="0059798F"/>
    <w:rsid w:val="005A3F4F"/>
    <w:rsid w:val="005A4D0C"/>
    <w:rsid w:val="005B367F"/>
    <w:rsid w:val="005B60B9"/>
    <w:rsid w:val="005C29CB"/>
    <w:rsid w:val="005C6B6F"/>
    <w:rsid w:val="005D2C4B"/>
    <w:rsid w:val="005D3357"/>
    <w:rsid w:val="005D484F"/>
    <w:rsid w:val="005D6BC4"/>
    <w:rsid w:val="005D743D"/>
    <w:rsid w:val="005E3E26"/>
    <w:rsid w:val="005E42DD"/>
    <w:rsid w:val="005E5CDC"/>
    <w:rsid w:val="005E73AC"/>
    <w:rsid w:val="005F2169"/>
    <w:rsid w:val="005F2C39"/>
    <w:rsid w:val="005F41EF"/>
    <w:rsid w:val="006018FF"/>
    <w:rsid w:val="0060494A"/>
    <w:rsid w:val="00613A41"/>
    <w:rsid w:val="0061455F"/>
    <w:rsid w:val="00616467"/>
    <w:rsid w:val="00623306"/>
    <w:rsid w:val="00630A34"/>
    <w:rsid w:val="006315E9"/>
    <w:rsid w:val="00640D01"/>
    <w:rsid w:val="00641896"/>
    <w:rsid w:val="00650B55"/>
    <w:rsid w:val="00652FD9"/>
    <w:rsid w:val="006567F9"/>
    <w:rsid w:val="00657B34"/>
    <w:rsid w:val="00667A1B"/>
    <w:rsid w:val="00671979"/>
    <w:rsid w:val="00672E77"/>
    <w:rsid w:val="00676539"/>
    <w:rsid w:val="0067695E"/>
    <w:rsid w:val="0067764A"/>
    <w:rsid w:val="00677B6D"/>
    <w:rsid w:val="00682229"/>
    <w:rsid w:val="006952B6"/>
    <w:rsid w:val="00697150"/>
    <w:rsid w:val="00697422"/>
    <w:rsid w:val="006A14E9"/>
    <w:rsid w:val="006A28C1"/>
    <w:rsid w:val="006A2C3D"/>
    <w:rsid w:val="006A4486"/>
    <w:rsid w:val="006A48C9"/>
    <w:rsid w:val="006A7A43"/>
    <w:rsid w:val="006C0C99"/>
    <w:rsid w:val="006C3199"/>
    <w:rsid w:val="006C4116"/>
    <w:rsid w:val="006C7EA6"/>
    <w:rsid w:val="006D453C"/>
    <w:rsid w:val="006D5175"/>
    <w:rsid w:val="006E5E3F"/>
    <w:rsid w:val="006F137E"/>
    <w:rsid w:val="006F4095"/>
    <w:rsid w:val="006F41F0"/>
    <w:rsid w:val="006F4BB2"/>
    <w:rsid w:val="006F7D32"/>
    <w:rsid w:val="00700378"/>
    <w:rsid w:val="00701DBD"/>
    <w:rsid w:val="00704515"/>
    <w:rsid w:val="00704A4E"/>
    <w:rsid w:val="00712578"/>
    <w:rsid w:val="00715B4A"/>
    <w:rsid w:val="00716E1E"/>
    <w:rsid w:val="007236D9"/>
    <w:rsid w:val="0072458A"/>
    <w:rsid w:val="0072604D"/>
    <w:rsid w:val="00731B8F"/>
    <w:rsid w:val="00735040"/>
    <w:rsid w:val="0073655B"/>
    <w:rsid w:val="00741905"/>
    <w:rsid w:val="00743C18"/>
    <w:rsid w:val="007471A9"/>
    <w:rsid w:val="0075256A"/>
    <w:rsid w:val="00754039"/>
    <w:rsid w:val="00761F54"/>
    <w:rsid w:val="00767839"/>
    <w:rsid w:val="00777BA1"/>
    <w:rsid w:val="0078046C"/>
    <w:rsid w:val="00781813"/>
    <w:rsid w:val="007830C7"/>
    <w:rsid w:val="0078330B"/>
    <w:rsid w:val="00785157"/>
    <w:rsid w:val="00785C68"/>
    <w:rsid w:val="00790DBB"/>
    <w:rsid w:val="00792E98"/>
    <w:rsid w:val="00795C0E"/>
    <w:rsid w:val="00796CD8"/>
    <w:rsid w:val="00796FB1"/>
    <w:rsid w:val="007A24F1"/>
    <w:rsid w:val="007B1345"/>
    <w:rsid w:val="007B18CB"/>
    <w:rsid w:val="007B1F22"/>
    <w:rsid w:val="007B3865"/>
    <w:rsid w:val="007B57B5"/>
    <w:rsid w:val="007B77AC"/>
    <w:rsid w:val="007B7DC1"/>
    <w:rsid w:val="007C1B15"/>
    <w:rsid w:val="007C1B2C"/>
    <w:rsid w:val="007C45CF"/>
    <w:rsid w:val="007C59AC"/>
    <w:rsid w:val="007C78F0"/>
    <w:rsid w:val="007D02F0"/>
    <w:rsid w:val="007D1ABB"/>
    <w:rsid w:val="007D31DB"/>
    <w:rsid w:val="007D6F61"/>
    <w:rsid w:val="007E1193"/>
    <w:rsid w:val="007E1A63"/>
    <w:rsid w:val="007E5979"/>
    <w:rsid w:val="007E5BE6"/>
    <w:rsid w:val="007E66E5"/>
    <w:rsid w:val="007F0F4A"/>
    <w:rsid w:val="007F2B1D"/>
    <w:rsid w:val="007F5BCF"/>
    <w:rsid w:val="00804DA0"/>
    <w:rsid w:val="00813AAA"/>
    <w:rsid w:val="0081626A"/>
    <w:rsid w:val="00823294"/>
    <w:rsid w:val="00824239"/>
    <w:rsid w:val="00826370"/>
    <w:rsid w:val="0082765E"/>
    <w:rsid w:val="00834A55"/>
    <w:rsid w:val="00834E63"/>
    <w:rsid w:val="008367B5"/>
    <w:rsid w:val="008449BF"/>
    <w:rsid w:val="008451E3"/>
    <w:rsid w:val="0084712B"/>
    <w:rsid w:val="0085689A"/>
    <w:rsid w:val="00857CA4"/>
    <w:rsid w:val="008628B2"/>
    <w:rsid w:val="00862CDF"/>
    <w:rsid w:val="0086323C"/>
    <w:rsid w:val="00863976"/>
    <w:rsid w:val="00866125"/>
    <w:rsid w:val="008707EE"/>
    <w:rsid w:val="0087094B"/>
    <w:rsid w:val="0087601D"/>
    <w:rsid w:val="00877AC6"/>
    <w:rsid w:val="0088091E"/>
    <w:rsid w:val="00881A40"/>
    <w:rsid w:val="008873EA"/>
    <w:rsid w:val="00892388"/>
    <w:rsid w:val="0089277C"/>
    <w:rsid w:val="00893A52"/>
    <w:rsid w:val="00897874"/>
    <w:rsid w:val="008A0B7A"/>
    <w:rsid w:val="008A5C0F"/>
    <w:rsid w:val="008A6715"/>
    <w:rsid w:val="008A682E"/>
    <w:rsid w:val="008A7964"/>
    <w:rsid w:val="008B5DDB"/>
    <w:rsid w:val="008B721A"/>
    <w:rsid w:val="008C12E6"/>
    <w:rsid w:val="008C3022"/>
    <w:rsid w:val="008C60C5"/>
    <w:rsid w:val="008C7376"/>
    <w:rsid w:val="008D0800"/>
    <w:rsid w:val="008D1F28"/>
    <w:rsid w:val="008D394B"/>
    <w:rsid w:val="008E62E0"/>
    <w:rsid w:val="008E6ABB"/>
    <w:rsid w:val="008E6FE0"/>
    <w:rsid w:val="008F0650"/>
    <w:rsid w:val="008F27E6"/>
    <w:rsid w:val="008F3AA1"/>
    <w:rsid w:val="008F4564"/>
    <w:rsid w:val="008F707D"/>
    <w:rsid w:val="00913B1B"/>
    <w:rsid w:val="00917F4B"/>
    <w:rsid w:val="00927AEA"/>
    <w:rsid w:val="009366CA"/>
    <w:rsid w:val="00943DCD"/>
    <w:rsid w:val="00946A2C"/>
    <w:rsid w:val="00951AAD"/>
    <w:rsid w:val="00953DEA"/>
    <w:rsid w:val="00954CF7"/>
    <w:rsid w:val="00954F35"/>
    <w:rsid w:val="009550DB"/>
    <w:rsid w:val="009635C6"/>
    <w:rsid w:val="009637FC"/>
    <w:rsid w:val="0096553B"/>
    <w:rsid w:val="00965CBF"/>
    <w:rsid w:val="00970EA8"/>
    <w:rsid w:val="009734E2"/>
    <w:rsid w:val="00975663"/>
    <w:rsid w:val="00984700"/>
    <w:rsid w:val="009855E6"/>
    <w:rsid w:val="00985C36"/>
    <w:rsid w:val="00995032"/>
    <w:rsid w:val="00995EEC"/>
    <w:rsid w:val="009962CB"/>
    <w:rsid w:val="00996672"/>
    <w:rsid w:val="009A2C4E"/>
    <w:rsid w:val="009A57D9"/>
    <w:rsid w:val="009A5E20"/>
    <w:rsid w:val="009A7316"/>
    <w:rsid w:val="009B1688"/>
    <w:rsid w:val="009B4677"/>
    <w:rsid w:val="009B58ED"/>
    <w:rsid w:val="009B73ED"/>
    <w:rsid w:val="009B7DB7"/>
    <w:rsid w:val="009C0E43"/>
    <w:rsid w:val="009C19D6"/>
    <w:rsid w:val="009C22D9"/>
    <w:rsid w:val="009C342E"/>
    <w:rsid w:val="009C4C1D"/>
    <w:rsid w:val="009C5345"/>
    <w:rsid w:val="009D058F"/>
    <w:rsid w:val="009D17D5"/>
    <w:rsid w:val="009D2B37"/>
    <w:rsid w:val="009D3446"/>
    <w:rsid w:val="009D4119"/>
    <w:rsid w:val="009D50BC"/>
    <w:rsid w:val="009D5940"/>
    <w:rsid w:val="009D7E21"/>
    <w:rsid w:val="009F449A"/>
    <w:rsid w:val="00A00818"/>
    <w:rsid w:val="00A01B0A"/>
    <w:rsid w:val="00A07AB0"/>
    <w:rsid w:val="00A07EDC"/>
    <w:rsid w:val="00A1056A"/>
    <w:rsid w:val="00A1133C"/>
    <w:rsid w:val="00A12826"/>
    <w:rsid w:val="00A22B6C"/>
    <w:rsid w:val="00A233BA"/>
    <w:rsid w:val="00A241DC"/>
    <w:rsid w:val="00A3604A"/>
    <w:rsid w:val="00A37DF4"/>
    <w:rsid w:val="00A42B1E"/>
    <w:rsid w:val="00A42FA1"/>
    <w:rsid w:val="00A431C4"/>
    <w:rsid w:val="00A500D5"/>
    <w:rsid w:val="00A50C5F"/>
    <w:rsid w:val="00A56C04"/>
    <w:rsid w:val="00A6636C"/>
    <w:rsid w:val="00A67756"/>
    <w:rsid w:val="00A677CC"/>
    <w:rsid w:val="00A722E0"/>
    <w:rsid w:val="00A72640"/>
    <w:rsid w:val="00A72F0C"/>
    <w:rsid w:val="00A730E0"/>
    <w:rsid w:val="00A7383A"/>
    <w:rsid w:val="00A73B15"/>
    <w:rsid w:val="00A74087"/>
    <w:rsid w:val="00A74792"/>
    <w:rsid w:val="00A748B3"/>
    <w:rsid w:val="00A75E07"/>
    <w:rsid w:val="00A76BD8"/>
    <w:rsid w:val="00A80FF4"/>
    <w:rsid w:val="00A82C83"/>
    <w:rsid w:val="00A843F9"/>
    <w:rsid w:val="00A84C0C"/>
    <w:rsid w:val="00A87AB7"/>
    <w:rsid w:val="00A87C86"/>
    <w:rsid w:val="00A90010"/>
    <w:rsid w:val="00A918F1"/>
    <w:rsid w:val="00A929E5"/>
    <w:rsid w:val="00A92B2A"/>
    <w:rsid w:val="00A950CF"/>
    <w:rsid w:val="00A96382"/>
    <w:rsid w:val="00A97906"/>
    <w:rsid w:val="00AA1BCF"/>
    <w:rsid w:val="00AA63BD"/>
    <w:rsid w:val="00AB0297"/>
    <w:rsid w:val="00AB7079"/>
    <w:rsid w:val="00AC6615"/>
    <w:rsid w:val="00AC7F36"/>
    <w:rsid w:val="00AD1D2C"/>
    <w:rsid w:val="00AD61DE"/>
    <w:rsid w:val="00AE5E95"/>
    <w:rsid w:val="00AE6D18"/>
    <w:rsid w:val="00AE76A8"/>
    <w:rsid w:val="00AF014D"/>
    <w:rsid w:val="00AF5F28"/>
    <w:rsid w:val="00B00197"/>
    <w:rsid w:val="00B0166C"/>
    <w:rsid w:val="00B026FD"/>
    <w:rsid w:val="00B031C4"/>
    <w:rsid w:val="00B05207"/>
    <w:rsid w:val="00B07CA3"/>
    <w:rsid w:val="00B11D4B"/>
    <w:rsid w:val="00B17AFE"/>
    <w:rsid w:val="00B20CF5"/>
    <w:rsid w:val="00B21AB0"/>
    <w:rsid w:val="00B22108"/>
    <w:rsid w:val="00B22133"/>
    <w:rsid w:val="00B2351C"/>
    <w:rsid w:val="00B23B37"/>
    <w:rsid w:val="00B25AEE"/>
    <w:rsid w:val="00B27A4C"/>
    <w:rsid w:val="00B27A54"/>
    <w:rsid w:val="00B3103E"/>
    <w:rsid w:val="00B3218E"/>
    <w:rsid w:val="00B37598"/>
    <w:rsid w:val="00B37608"/>
    <w:rsid w:val="00B4000C"/>
    <w:rsid w:val="00B4479D"/>
    <w:rsid w:val="00B51096"/>
    <w:rsid w:val="00B55ED1"/>
    <w:rsid w:val="00B5756D"/>
    <w:rsid w:val="00B57AF1"/>
    <w:rsid w:val="00B610FD"/>
    <w:rsid w:val="00B63A67"/>
    <w:rsid w:val="00B651FC"/>
    <w:rsid w:val="00B66127"/>
    <w:rsid w:val="00B7024E"/>
    <w:rsid w:val="00B7227C"/>
    <w:rsid w:val="00B73AF1"/>
    <w:rsid w:val="00B76FB1"/>
    <w:rsid w:val="00B819C2"/>
    <w:rsid w:val="00B8388E"/>
    <w:rsid w:val="00B938C3"/>
    <w:rsid w:val="00B943BF"/>
    <w:rsid w:val="00B94F12"/>
    <w:rsid w:val="00BA2F0B"/>
    <w:rsid w:val="00BA3C0C"/>
    <w:rsid w:val="00BA4128"/>
    <w:rsid w:val="00BA4BFE"/>
    <w:rsid w:val="00BA4F49"/>
    <w:rsid w:val="00BA4F73"/>
    <w:rsid w:val="00BA4F8D"/>
    <w:rsid w:val="00BA5ABE"/>
    <w:rsid w:val="00BA6D3E"/>
    <w:rsid w:val="00BB0554"/>
    <w:rsid w:val="00BB51D3"/>
    <w:rsid w:val="00BB73C0"/>
    <w:rsid w:val="00BC0C29"/>
    <w:rsid w:val="00BC1D72"/>
    <w:rsid w:val="00BC4993"/>
    <w:rsid w:val="00BC56BF"/>
    <w:rsid w:val="00BD56A9"/>
    <w:rsid w:val="00BD5C92"/>
    <w:rsid w:val="00BD7379"/>
    <w:rsid w:val="00BE1A75"/>
    <w:rsid w:val="00BE6EBC"/>
    <w:rsid w:val="00BF0302"/>
    <w:rsid w:val="00BF7C62"/>
    <w:rsid w:val="00C0225E"/>
    <w:rsid w:val="00C12741"/>
    <w:rsid w:val="00C346E7"/>
    <w:rsid w:val="00C369A4"/>
    <w:rsid w:val="00C3752A"/>
    <w:rsid w:val="00C42DD1"/>
    <w:rsid w:val="00C44120"/>
    <w:rsid w:val="00C46582"/>
    <w:rsid w:val="00C466FC"/>
    <w:rsid w:val="00C515A0"/>
    <w:rsid w:val="00C54C32"/>
    <w:rsid w:val="00C5644C"/>
    <w:rsid w:val="00C578FC"/>
    <w:rsid w:val="00C705DF"/>
    <w:rsid w:val="00C82115"/>
    <w:rsid w:val="00C82120"/>
    <w:rsid w:val="00C8347C"/>
    <w:rsid w:val="00C84B76"/>
    <w:rsid w:val="00C84EAC"/>
    <w:rsid w:val="00C84EB9"/>
    <w:rsid w:val="00C86A73"/>
    <w:rsid w:val="00C947B6"/>
    <w:rsid w:val="00CB13F7"/>
    <w:rsid w:val="00CB32CE"/>
    <w:rsid w:val="00CB4890"/>
    <w:rsid w:val="00CB6402"/>
    <w:rsid w:val="00CD0838"/>
    <w:rsid w:val="00CD30DB"/>
    <w:rsid w:val="00CE2248"/>
    <w:rsid w:val="00CE2AC7"/>
    <w:rsid w:val="00CE45AA"/>
    <w:rsid w:val="00CE4727"/>
    <w:rsid w:val="00CF2BE7"/>
    <w:rsid w:val="00CF3F64"/>
    <w:rsid w:val="00CF4D5C"/>
    <w:rsid w:val="00CF5899"/>
    <w:rsid w:val="00CF62A8"/>
    <w:rsid w:val="00D013B2"/>
    <w:rsid w:val="00D045DC"/>
    <w:rsid w:val="00D16AD1"/>
    <w:rsid w:val="00D2070D"/>
    <w:rsid w:val="00D23B73"/>
    <w:rsid w:val="00D30B59"/>
    <w:rsid w:val="00D321AE"/>
    <w:rsid w:val="00D32FF9"/>
    <w:rsid w:val="00D3568A"/>
    <w:rsid w:val="00D36482"/>
    <w:rsid w:val="00D36B7D"/>
    <w:rsid w:val="00D36E9F"/>
    <w:rsid w:val="00D371F9"/>
    <w:rsid w:val="00D403E9"/>
    <w:rsid w:val="00D44BAD"/>
    <w:rsid w:val="00D45D19"/>
    <w:rsid w:val="00D5383E"/>
    <w:rsid w:val="00D5600F"/>
    <w:rsid w:val="00D57464"/>
    <w:rsid w:val="00D637F8"/>
    <w:rsid w:val="00D674A3"/>
    <w:rsid w:val="00D67DDE"/>
    <w:rsid w:val="00D7090B"/>
    <w:rsid w:val="00D76E9F"/>
    <w:rsid w:val="00D77A83"/>
    <w:rsid w:val="00D84D09"/>
    <w:rsid w:val="00D85DE5"/>
    <w:rsid w:val="00D862FC"/>
    <w:rsid w:val="00DA2B89"/>
    <w:rsid w:val="00DA4274"/>
    <w:rsid w:val="00DA4A7B"/>
    <w:rsid w:val="00DA6FBB"/>
    <w:rsid w:val="00DB1463"/>
    <w:rsid w:val="00DB2D77"/>
    <w:rsid w:val="00DB381A"/>
    <w:rsid w:val="00DB57DD"/>
    <w:rsid w:val="00DC00AD"/>
    <w:rsid w:val="00DD26BE"/>
    <w:rsid w:val="00DD4AA9"/>
    <w:rsid w:val="00DD52A0"/>
    <w:rsid w:val="00DE0B82"/>
    <w:rsid w:val="00DE3FDA"/>
    <w:rsid w:val="00DE3FE9"/>
    <w:rsid w:val="00DF45E5"/>
    <w:rsid w:val="00DF55E0"/>
    <w:rsid w:val="00E0107B"/>
    <w:rsid w:val="00E065D5"/>
    <w:rsid w:val="00E15DBE"/>
    <w:rsid w:val="00E16FD6"/>
    <w:rsid w:val="00E17A4F"/>
    <w:rsid w:val="00E21C54"/>
    <w:rsid w:val="00E23EB5"/>
    <w:rsid w:val="00E2478C"/>
    <w:rsid w:val="00E24838"/>
    <w:rsid w:val="00E2563D"/>
    <w:rsid w:val="00E25675"/>
    <w:rsid w:val="00E26CD1"/>
    <w:rsid w:val="00E31224"/>
    <w:rsid w:val="00E3135C"/>
    <w:rsid w:val="00E32B77"/>
    <w:rsid w:val="00E41072"/>
    <w:rsid w:val="00E457ED"/>
    <w:rsid w:val="00E46AE0"/>
    <w:rsid w:val="00E5078F"/>
    <w:rsid w:val="00E621DF"/>
    <w:rsid w:val="00E71F00"/>
    <w:rsid w:val="00E73A62"/>
    <w:rsid w:val="00E757DE"/>
    <w:rsid w:val="00E81E62"/>
    <w:rsid w:val="00E83153"/>
    <w:rsid w:val="00E8585E"/>
    <w:rsid w:val="00E87326"/>
    <w:rsid w:val="00E90C98"/>
    <w:rsid w:val="00E96DE4"/>
    <w:rsid w:val="00E97636"/>
    <w:rsid w:val="00EA014F"/>
    <w:rsid w:val="00EA311D"/>
    <w:rsid w:val="00EA721A"/>
    <w:rsid w:val="00EB4E9B"/>
    <w:rsid w:val="00EC16F7"/>
    <w:rsid w:val="00EC2046"/>
    <w:rsid w:val="00EC5CF5"/>
    <w:rsid w:val="00EC61A4"/>
    <w:rsid w:val="00EC704E"/>
    <w:rsid w:val="00ED5BBA"/>
    <w:rsid w:val="00ED6251"/>
    <w:rsid w:val="00EE5210"/>
    <w:rsid w:val="00EE7F14"/>
    <w:rsid w:val="00EF0B0E"/>
    <w:rsid w:val="00EF116C"/>
    <w:rsid w:val="00EF695F"/>
    <w:rsid w:val="00F00A61"/>
    <w:rsid w:val="00F02048"/>
    <w:rsid w:val="00F037F7"/>
    <w:rsid w:val="00F03FF3"/>
    <w:rsid w:val="00F05499"/>
    <w:rsid w:val="00F054B9"/>
    <w:rsid w:val="00F06C06"/>
    <w:rsid w:val="00F15C74"/>
    <w:rsid w:val="00F1738B"/>
    <w:rsid w:val="00F23CE9"/>
    <w:rsid w:val="00F358DB"/>
    <w:rsid w:val="00F36502"/>
    <w:rsid w:val="00F36F16"/>
    <w:rsid w:val="00F37FFD"/>
    <w:rsid w:val="00F402A0"/>
    <w:rsid w:val="00F41652"/>
    <w:rsid w:val="00F41FF4"/>
    <w:rsid w:val="00F46037"/>
    <w:rsid w:val="00F47E84"/>
    <w:rsid w:val="00F51420"/>
    <w:rsid w:val="00F53013"/>
    <w:rsid w:val="00F54272"/>
    <w:rsid w:val="00F54313"/>
    <w:rsid w:val="00F578B5"/>
    <w:rsid w:val="00F64AB2"/>
    <w:rsid w:val="00F66500"/>
    <w:rsid w:val="00F77926"/>
    <w:rsid w:val="00F84E7D"/>
    <w:rsid w:val="00F911B5"/>
    <w:rsid w:val="00F91624"/>
    <w:rsid w:val="00F92773"/>
    <w:rsid w:val="00F94C0E"/>
    <w:rsid w:val="00FA3912"/>
    <w:rsid w:val="00FA3F7D"/>
    <w:rsid w:val="00FA510E"/>
    <w:rsid w:val="00FB1968"/>
    <w:rsid w:val="00FB756D"/>
    <w:rsid w:val="00FC0F1D"/>
    <w:rsid w:val="00FC50C9"/>
    <w:rsid w:val="00FC666A"/>
    <w:rsid w:val="00FD21CC"/>
    <w:rsid w:val="00FE47D3"/>
    <w:rsid w:val="00FE5A68"/>
    <w:rsid w:val="00FE5EF5"/>
    <w:rsid w:val="00FF099D"/>
    <w:rsid w:val="00FF2B73"/>
    <w:rsid w:val="00FF5E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768BC"/>
  <w15:docId w15:val="{22B2747D-9F3C-4874-A17C-AAA49299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4766C2"/>
    <w:rPr>
      <w:sz w:val="16"/>
      <w:szCs w:val="16"/>
    </w:rPr>
  </w:style>
  <w:style w:type="paragraph" w:styleId="Textocomentario">
    <w:name w:val="annotation text"/>
    <w:basedOn w:val="Normal"/>
    <w:link w:val="TextocomentarioCar"/>
    <w:uiPriority w:val="99"/>
    <w:semiHidden/>
    <w:unhideWhenUsed/>
    <w:rsid w:val="004766C2"/>
  </w:style>
  <w:style w:type="character" w:customStyle="1" w:styleId="TextocomentarioCar">
    <w:name w:val="Texto comentario Car"/>
    <w:basedOn w:val="Fuentedeprrafopredeter"/>
    <w:link w:val="Textocomentario"/>
    <w:uiPriority w:val="99"/>
    <w:semiHidden/>
    <w:rsid w:val="004766C2"/>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4766C2"/>
    <w:rPr>
      <w:b/>
      <w:bCs/>
    </w:rPr>
  </w:style>
  <w:style w:type="character" w:customStyle="1" w:styleId="AsuntodelcomentarioCar">
    <w:name w:val="Asunto del comentario Car"/>
    <w:basedOn w:val="TextocomentarioCar"/>
    <w:link w:val="Asuntodelcomentario"/>
    <w:uiPriority w:val="99"/>
    <w:semiHidden/>
    <w:rsid w:val="004766C2"/>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 w:id="212002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tyles" Target="styles.xml"/><Relationship Id="rId9" Type="http://schemas.openxmlformats.org/officeDocument/2006/relationships/image" Target="media/image1.emf"/><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AD596C-48ED-4EA4-AB72-F34C0187735A}"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s-MX"/>
        </a:p>
      </dgm:t>
    </dgm:pt>
    <dgm:pt modelId="{C1B5EB69-2320-4548-B8AF-49249D0B863D}">
      <dgm:prSet phldrT="[Texto]" custT="1"/>
      <dgm:spPr/>
      <dgm:t>
        <a:bodyPr/>
        <a:lstStyle/>
        <a:p>
          <a:r>
            <a:rPr lang="es-MX" sz="900" b="1"/>
            <a:t>Planea-ción</a:t>
          </a:r>
        </a:p>
      </dgm:t>
    </dgm:pt>
    <dgm:pt modelId="{77382798-AE17-4B5E-8A43-6261E42CE88F}" type="parTrans" cxnId="{C2A6D4CA-B536-4E8A-8B17-3083F6A274AE}">
      <dgm:prSet/>
      <dgm:spPr/>
      <dgm:t>
        <a:bodyPr/>
        <a:lstStyle/>
        <a:p>
          <a:endParaRPr lang="es-MX"/>
        </a:p>
      </dgm:t>
    </dgm:pt>
    <dgm:pt modelId="{2D975439-F0D7-4208-9417-2A9C7C70B3BE}" type="sibTrans" cxnId="{C2A6D4CA-B536-4E8A-8B17-3083F6A274AE}">
      <dgm:prSet/>
      <dgm:spPr/>
      <dgm:t>
        <a:bodyPr/>
        <a:lstStyle/>
        <a:p>
          <a:endParaRPr lang="es-MX"/>
        </a:p>
      </dgm:t>
    </dgm:pt>
    <dgm:pt modelId="{6A7D5DDF-DAC1-403D-B117-2FBBBDBAE5E5}">
      <dgm:prSet phldrT="[Texto]" custT="1"/>
      <dgm:spPr/>
      <dgm:t>
        <a:bodyPr/>
        <a:lstStyle/>
        <a:p>
          <a:r>
            <a:rPr lang="es-MX" sz="900" b="1"/>
            <a:t>Ejecu-ción</a:t>
          </a:r>
        </a:p>
      </dgm:t>
    </dgm:pt>
    <dgm:pt modelId="{0BA73B5E-5FF4-4151-8980-C6E34E7BB52E}" type="parTrans" cxnId="{43F01229-6568-4DFA-AD76-CA91F306FD79}">
      <dgm:prSet/>
      <dgm:spPr/>
      <dgm:t>
        <a:bodyPr/>
        <a:lstStyle/>
        <a:p>
          <a:endParaRPr lang="es-MX"/>
        </a:p>
      </dgm:t>
    </dgm:pt>
    <dgm:pt modelId="{2604C857-F8EF-4BD8-A9D6-185302E5B35E}" type="sibTrans" cxnId="{43F01229-6568-4DFA-AD76-CA91F306FD79}">
      <dgm:prSet/>
      <dgm:spPr/>
      <dgm:t>
        <a:bodyPr/>
        <a:lstStyle/>
        <a:p>
          <a:endParaRPr lang="es-MX"/>
        </a:p>
      </dgm:t>
    </dgm:pt>
    <dgm:pt modelId="{D0949D50-DA85-408E-9D74-951EA2084CAA}">
      <dgm:prSet phldrT="[Texto]" custT="1"/>
      <dgm:spPr/>
      <dgm:t>
        <a:bodyPr/>
        <a:lstStyle/>
        <a:p>
          <a:r>
            <a:rPr lang="es-MX" sz="900" b="1"/>
            <a:t>Control</a:t>
          </a:r>
        </a:p>
      </dgm:t>
    </dgm:pt>
    <dgm:pt modelId="{D1A0E981-E167-434A-AA70-A5A95879A6F4}" type="parTrans" cxnId="{51519249-E219-4ACC-93A4-54ADE29F39A8}">
      <dgm:prSet/>
      <dgm:spPr/>
      <dgm:t>
        <a:bodyPr/>
        <a:lstStyle/>
        <a:p>
          <a:endParaRPr lang="es-MX"/>
        </a:p>
      </dgm:t>
    </dgm:pt>
    <dgm:pt modelId="{5E5EBCF5-693B-4B67-B6F9-DEE7E9948E9F}" type="sibTrans" cxnId="{51519249-E219-4ACC-93A4-54ADE29F39A8}">
      <dgm:prSet/>
      <dgm:spPr/>
      <dgm:t>
        <a:bodyPr/>
        <a:lstStyle/>
        <a:p>
          <a:endParaRPr lang="es-MX"/>
        </a:p>
      </dgm:t>
    </dgm:pt>
    <dgm:pt modelId="{E875533B-8ECB-4469-B041-60C86FA484BD}">
      <dgm:prSet phldrT="[Texto]" custT="1"/>
      <dgm:spPr/>
      <dgm:t>
        <a:bodyPr/>
        <a:lstStyle/>
        <a:p>
          <a:r>
            <a:rPr lang="es-MX" sz="900" b="1"/>
            <a:t>Evalua-ción</a:t>
          </a:r>
        </a:p>
      </dgm:t>
    </dgm:pt>
    <dgm:pt modelId="{2A8574BE-C39D-49FC-9C17-997FA043BFD6}" type="parTrans" cxnId="{12FA301C-ADB7-438A-9834-90E0378384A2}">
      <dgm:prSet/>
      <dgm:spPr/>
      <dgm:t>
        <a:bodyPr/>
        <a:lstStyle/>
        <a:p>
          <a:endParaRPr lang="es-MX"/>
        </a:p>
      </dgm:t>
    </dgm:pt>
    <dgm:pt modelId="{64D440E3-098E-4C59-88B4-4DF67DF85C03}" type="sibTrans" cxnId="{12FA301C-ADB7-438A-9834-90E0378384A2}">
      <dgm:prSet/>
      <dgm:spPr/>
      <dgm:t>
        <a:bodyPr/>
        <a:lstStyle/>
        <a:p>
          <a:endParaRPr lang="es-MX"/>
        </a:p>
      </dgm:t>
    </dgm:pt>
    <dgm:pt modelId="{D5816D9C-8767-4532-A966-161D48CB9E6F}">
      <dgm:prSet phldrT="[Texto]" custT="1"/>
      <dgm:spPr/>
      <dgm:t>
        <a:bodyPr/>
        <a:lstStyle/>
        <a:p>
          <a:r>
            <a:rPr lang="es-MX" sz="900" b="1"/>
            <a:t>Transpa-rencia</a:t>
          </a:r>
          <a:endParaRPr lang="es-MX" sz="700" b="1"/>
        </a:p>
      </dgm:t>
    </dgm:pt>
    <dgm:pt modelId="{B7BCE2E3-535E-4DE5-9989-4D32CBB1B210}" type="parTrans" cxnId="{8C54B5E4-566B-46C8-8C16-6D424991F0BB}">
      <dgm:prSet/>
      <dgm:spPr/>
      <dgm:t>
        <a:bodyPr/>
        <a:lstStyle/>
        <a:p>
          <a:endParaRPr lang="es-MX"/>
        </a:p>
      </dgm:t>
    </dgm:pt>
    <dgm:pt modelId="{E37D3FD4-F70E-4AC5-8458-57AD8381D96C}" type="sibTrans" cxnId="{8C54B5E4-566B-46C8-8C16-6D424991F0BB}">
      <dgm:prSet/>
      <dgm:spPr/>
      <dgm:t>
        <a:bodyPr/>
        <a:lstStyle/>
        <a:p>
          <a:endParaRPr lang="es-MX"/>
        </a:p>
      </dgm:t>
    </dgm:pt>
    <dgm:pt modelId="{50F3B8AA-3D36-4E11-8AD7-D0220166497E}">
      <dgm:prSet custT="1"/>
      <dgm:spPr/>
      <dgm:t>
        <a:bodyPr/>
        <a:lstStyle/>
        <a:p>
          <a:r>
            <a:rPr lang="es-MX" sz="900" b="1"/>
            <a:t>Progra-ma-ción</a:t>
          </a:r>
          <a:endParaRPr lang="es-MX" sz="700" b="1"/>
        </a:p>
      </dgm:t>
    </dgm:pt>
    <dgm:pt modelId="{BFEEEE72-909F-42C7-BE7B-1CD66308E2AD}" type="parTrans" cxnId="{E189A114-D4A8-4288-B12F-BC15E229B19E}">
      <dgm:prSet/>
      <dgm:spPr/>
      <dgm:t>
        <a:bodyPr/>
        <a:lstStyle/>
        <a:p>
          <a:endParaRPr lang="es-MX"/>
        </a:p>
      </dgm:t>
    </dgm:pt>
    <dgm:pt modelId="{38B5DEF3-ADE1-4D14-B4E6-3FF0613B2D3D}" type="sibTrans" cxnId="{E189A114-D4A8-4288-B12F-BC15E229B19E}">
      <dgm:prSet/>
      <dgm:spPr/>
      <dgm:t>
        <a:bodyPr/>
        <a:lstStyle/>
        <a:p>
          <a:endParaRPr lang="es-MX"/>
        </a:p>
      </dgm:t>
    </dgm:pt>
    <dgm:pt modelId="{C6B500E7-F6E8-4F2A-8144-C386AFDE0994}">
      <dgm:prSet custT="1"/>
      <dgm:spPr/>
      <dgm:t>
        <a:bodyPr/>
        <a:lstStyle/>
        <a:p>
          <a:r>
            <a:rPr lang="es-MX" sz="900" b="1"/>
            <a:t>Presu-puesta-ción</a:t>
          </a:r>
        </a:p>
      </dgm:t>
    </dgm:pt>
    <dgm:pt modelId="{EAE76CD7-3529-48B3-99AC-A792C06DFBDB}" type="parTrans" cxnId="{EE4DB5C3-324D-463D-9883-8C7984F7741E}">
      <dgm:prSet/>
      <dgm:spPr/>
      <dgm:t>
        <a:bodyPr/>
        <a:lstStyle/>
        <a:p>
          <a:endParaRPr lang="es-MX"/>
        </a:p>
      </dgm:t>
    </dgm:pt>
    <dgm:pt modelId="{964987E9-2502-4E81-B543-35DB6D8CB628}" type="sibTrans" cxnId="{EE4DB5C3-324D-463D-9883-8C7984F7741E}">
      <dgm:prSet/>
      <dgm:spPr/>
      <dgm:t>
        <a:bodyPr/>
        <a:lstStyle/>
        <a:p>
          <a:endParaRPr lang="es-MX"/>
        </a:p>
      </dgm:t>
    </dgm:pt>
    <dgm:pt modelId="{518FBFFF-C956-45B3-BBE4-2EB8A4CB1C20}" type="pres">
      <dgm:prSet presAssocID="{5AAD596C-48ED-4EA4-AB72-F34C0187735A}" presName="cycle" presStyleCnt="0">
        <dgm:presLayoutVars>
          <dgm:dir/>
          <dgm:resizeHandles val="exact"/>
        </dgm:presLayoutVars>
      </dgm:prSet>
      <dgm:spPr/>
      <dgm:t>
        <a:bodyPr/>
        <a:lstStyle/>
        <a:p>
          <a:endParaRPr lang="es-MX"/>
        </a:p>
      </dgm:t>
    </dgm:pt>
    <dgm:pt modelId="{035F27D4-1088-4F4C-A9FF-E448693BC11B}" type="pres">
      <dgm:prSet presAssocID="{C1B5EB69-2320-4548-B8AF-49249D0B863D}" presName="node" presStyleLbl="node1" presStyleIdx="0" presStyleCnt="7">
        <dgm:presLayoutVars>
          <dgm:bulletEnabled val="1"/>
        </dgm:presLayoutVars>
      </dgm:prSet>
      <dgm:spPr/>
      <dgm:t>
        <a:bodyPr/>
        <a:lstStyle/>
        <a:p>
          <a:endParaRPr lang="es-MX"/>
        </a:p>
      </dgm:t>
    </dgm:pt>
    <dgm:pt modelId="{96EA99ED-1781-4F50-84E1-B493336CDF7E}" type="pres">
      <dgm:prSet presAssocID="{2D975439-F0D7-4208-9417-2A9C7C70B3BE}" presName="sibTrans" presStyleLbl="sibTrans2D1" presStyleIdx="0" presStyleCnt="7"/>
      <dgm:spPr/>
      <dgm:t>
        <a:bodyPr/>
        <a:lstStyle/>
        <a:p>
          <a:endParaRPr lang="es-MX"/>
        </a:p>
      </dgm:t>
    </dgm:pt>
    <dgm:pt modelId="{C7C7A4D8-C44B-4BBC-9B50-2EAECB413A30}" type="pres">
      <dgm:prSet presAssocID="{2D975439-F0D7-4208-9417-2A9C7C70B3BE}" presName="connectorText" presStyleLbl="sibTrans2D1" presStyleIdx="0" presStyleCnt="7"/>
      <dgm:spPr/>
      <dgm:t>
        <a:bodyPr/>
        <a:lstStyle/>
        <a:p>
          <a:endParaRPr lang="es-MX"/>
        </a:p>
      </dgm:t>
    </dgm:pt>
    <dgm:pt modelId="{4F488760-549B-4CBD-AD86-2582244BEB24}" type="pres">
      <dgm:prSet presAssocID="{50F3B8AA-3D36-4E11-8AD7-D0220166497E}" presName="node" presStyleLbl="node1" presStyleIdx="1" presStyleCnt="7">
        <dgm:presLayoutVars>
          <dgm:bulletEnabled val="1"/>
        </dgm:presLayoutVars>
      </dgm:prSet>
      <dgm:spPr/>
      <dgm:t>
        <a:bodyPr/>
        <a:lstStyle/>
        <a:p>
          <a:endParaRPr lang="es-MX"/>
        </a:p>
      </dgm:t>
    </dgm:pt>
    <dgm:pt modelId="{30EC4A91-F4F9-42B5-8420-F5A85F5C0BE9}" type="pres">
      <dgm:prSet presAssocID="{38B5DEF3-ADE1-4D14-B4E6-3FF0613B2D3D}" presName="sibTrans" presStyleLbl="sibTrans2D1" presStyleIdx="1" presStyleCnt="7"/>
      <dgm:spPr/>
      <dgm:t>
        <a:bodyPr/>
        <a:lstStyle/>
        <a:p>
          <a:endParaRPr lang="es-MX"/>
        </a:p>
      </dgm:t>
    </dgm:pt>
    <dgm:pt modelId="{7EC0509C-BD6E-4A79-A1FE-1FD23CD840E6}" type="pres">
      <dgm:prSet presAssocID="{38B5DEF3-ADE1-4D14-B4E6-3FF0613B2D3D}" presName="connectorText" presStyleLbl="sibTrans2D1" presStyleIdx="1" presStyleCnt="7"/>
      <dgm:spPr/>
      <dgm:t>
        <a:bodyPr/>
        <a:lstStyle/>
        <a:p>
          <a:endParaRPr lang="es-MX"/>
        </a:p>
      </dgm:t>
    </dgm:pt>
    <dgm:pt modelId="{B54578AE-2A4E-4447-9D46-E9C6732F6B09}" type="pres">
      <dgm:prSet presAssocID="{C6B500E7-F6E8-4F2A-8144-C386AFDE0994}" presName="node" presStyleLbl="node1" presStyleIdx="2" presStyleCnt="7">
        <dgm:presLayoutVars>
          <dgm:bulletEnabled val="1"/>
        </dgm:presLayoutVars>
      </dgm:prSet>
      <dgm:spPr/>
      <dgm:t>
        <a:bodyPr/>
        <a:lstStyle/>
        <a:p>
          <a:endParaRPr lang="es-MX"/>
        </a:p>
      </dgm:t>
    </dgm:pt>
    <dgm:pt modelId="{FE89A802-222C-40C7-B477-2339E0E10218}" type="pres">
      <dgm:prSet presAssocID="{964987E9-2502-4E81-B543-35DB6D8CB628}" presName="sibTrans" presStyleLbl="sibTrans2D1" presStyleIdx="2" presStyleCnt="7"/>
      <dgm:spPr/>
      <dgm:t>
        <a:bodyPr/>
        <a:lstStyle/>
        <a:p>
          <a:endParaRPr lang="es-MX"/>
        </a:p>
      </dgm:t>
    </dgm:pt>
    <dgm:pt modelId="{A7B8FD4E-4BBA-4673-A68A-E27A223CA833}" type="pres">
      <dgm:prSet presAssocID="{964987E9-2502-4E81-B543-35DB6D8CB628}" presName="connectorText" presStyleLbl="sibTrans2D1" presStyleIdx="2" presStyleCnt="7"/>
      <dgm:spPr/>
      <dgm:t>
        <a:bodyPr/>
        <a:lstStyle/>
        <a:p>
          <a:endParaRPr lang="es-MX"/>
        </a:p>
      </dgm:t>
    </dgm:pt>
    <dgm:pt modelId="{F993F76C-F436-42E7-968D-B24F68055E7A}" type="pres">
      <dgm:prSet presAssocID="{6A7D5DDF-DAC1-403D-B117-2FBBBDBAE5E5}" presName="node" presStyleLbl="node1" presStyleIdx="3" presStyleCnt="7">
        <dgm:presLayoutVars>
          <dgm:bulletEnabled val="1"/>
        </dgm:presLayoutVars>
      </dgm:prSet>
      <dgm:spPr/>
      <dgm:t>
        <a:bodyPr/>
        <a:lstStyle/>
        <a:p>
          <a:endParaRPr lang="es-MX"/>
        </a:p>
      </dgm:t>
    </dgm:pt>
    <dgm:pt modelId="{26DB7CE5-7BD0-4E45-A5A2-9479A1581E30}" type="pres">
      <dgm:prSet presAssocID="{2604C857-F8EF-4BD8-A9D6-185302E5B35E}" presName="sibTrans" presStyleLbl="sibTrans2D1" presStyleIdx="3" presStyleCnt="7"/>
      <dgm:spPr/>
      <dgm:t>
        <a:bodyPr/>
        <a:lstStyle/>
        <a:p>
          <a:endParaRPr lang="es-MX"/>
        </a:p>
      </dgm:t>
    </dgm:pt>
    <dgm:pt modelId="{4673A5B2-097B-448E-A5EB-B23B4CDF13EF}" type="pres">
      <dgm:prSet presAssocID="{2604C857-F8EF-4BD8-A9D6-185302E5B35E}" presName="connectorText" presStyleLbl="sibTrans2D1" presStyleIdx="3" presStyleCnt="7"/>
      <dgm:spPr/>
      <dgm:t>
        <a:bodyPr/>
        <a:lstStyle/>
        <a:p>
          <a:endParaRPr lang="es-MX"/>
        </a:p>
      </dgm:t>
    </dgm:pt>
    <dgm:pt modelId="{EC48C077-4C82-4B19-913F-E413345463AD}" type="pres">
      <dgm:prSet presAssocID="{D0949D50-DA85-408E-9D74-951EA2084CAA}" presName="node" presStyleLbl="node1" presStyleIdx="4" presStyleCnt="7">
        <dgm:presLayoutVars>
          <dgm:bulletEnabled val="1"/>
        </dgm:presLayoutVars>
      </dgm:prSet>
      <dgm:spPr/>
      <dgm:t>
        <a:bodyPr/>
        <a:lstStyle/>
        <a:p>
          <a:endParaRPr lang="es-MX"/>
        </a:p>
      </dgm:t>
    </dgm:pt>
    <dgm:pt modelId="{666B9A5E-9BA1-4518-BB09-4F8915B44F03}" type="pres">
      <dgm:prSet presAssocID="{5E5EBCF5-693B-4B67-B6F9-DEE7E9948E9F}" presName="sibTrans" presStyleLbl="sibTrans2D1" presStyleIdx="4" presStyleCnt="7"/>
      <dgm:spPr/>
      <dgm:t>
        <a:bodyPr/>
        <a:lstStyle/>
        <a:p>
          <a:endParaRPr lang="es-MX"/>
        </a:p>
      </dgm:t>
    </dgm:pt>
    <dgm:pt modelId="{A50E3F31-C14B-4285-A589-F8768E91DC3A}" type="pres">
      <dgm:prSet presAssocID="{5E5EBCF5-693B-4B67-B6F9-DEE7E9948E9F}" presName="connectorText" presStyleLbl="sibTrans2D1" presStyleIdx="4" presStyleCnt="7"/>
      <dgm:spPr/>
      <dgm:t>
        <a:bodyPr/>
        <a:lstStyle/>
        <a:p>
          <a:endParaRPr lang="es-MX"/>
        </a:p>
      </dgm:t>
    </dgm:pt>
    <dgm:pt modelId="{78EEA321-4643-41D0-88C1-B1DB34DE4A2C}" type="pres">
      <dgm:prSet presAssocID="{E875533B-8ECB-4469-B041-60C86FA484BD}" presName="node" presStyleLbl="node1" presStyleIdx="5" presStyleCnt="7">
        <dgm:presLayoutVars>
          <dgm:bulletEnabled val="1"/>
        </dgm:presLayoutVars>
      </dgm:prSet>
      <dgm:spPr/>
      <dgm:t>
        <a:bodyPr/>
        <a:lstStyle/>
        <a:p>
          <a:endParaRPr lang="es-MX"/>
        </a:p>
      </dgm:t>
    </dgm:pt>
    <dgm:pt modelId="{B10D4AAA-31BB-417F-A043-13E33C0EA365}" type="pres">
      <dgm:prSet presAssocID="{64D440E3-098E-4C59-88B4-4DF67DF85C03}" presName="sibTrans" presStyleLbl="sibTrans2D1" presStyleIdx="5" presStyleCnt="7"/>
      <dgm:spPr/>
      <dgm:t>
        <a:bodyPr/>
        <a:lstStyle/>
        <a:p>
          <a:endParaRPr lang="es-MX"/>
        </a:p>
      </dgm:t>
    </dgm:pt>
    <dgm:pt modelId="{2CFCDE26-E245-4E41-BA53-840F82C985A2}" type="pres">
      <dgm:prSet presAssocID="{64D440E3-098E-4C59-88B4-4DF67DF85C03}" presName="connectorText" presStyleLbl="sibTrans2D1" presStyleIdx="5" presStyleCnt="7"/>
      <dgm:spPr/>
      <dgm:t>
        <a:bodyPr/>
        <a:lstStyle/>
        <a:p>
          <a:endParaRPr lang="es-MX"/>
        </a:p>
      </dgm:t>
    </dgm:pt>
    <dgm:pt modelId="{1C5AD0E0-7DCC-49F0-90D1-38C6706082CE}" type="pres">
      <dgm:prSet presAssocID="{D5816D9C-8767-4532-A966-161D48CB9E6F}" presName="node" presStyleLbl="node1" presStyleIdx="6" presStyleCnt="7" custScaleX="112111" custScaleY="103116">
        <dgm:presLayoutVars>
          <dgm:bulletEnabled val="1"/>
        </dgm:presLayoutVars>
      </dgm:prSet>
      <dgm:spPr/>
      <dgm:t>
        <a:bodyPr/>
        <a:lstStyle/>
        <a:p>
          <a:endParaRPr lang="es-MX"/>
        </a:p>
      </dgm:t>
    </dgm:pt>
    <dgm:pt modelId="{26E94246-5B3E-4852-AFF3-B03BF4D6AEE1}" type="pres">
      <dgm:prSet presAssocID="{E37D3FD4-F70E-4AC5-8458-57AD8381D96C}" presName="sibTrans" presStyleLbl="sibTrans2D1" presStyleIdx="6" presStyleCnt="7"/>
      <dgm:spPr/>
      <dgm:t>
        <a:bodyPr/>
        <a:lstStyle/>
        <a:p>
          <a:endParaRPr lang="es-MX"/>
        </a:p>
      </dgm:t>
    </dgm:pt>
    <dgm:pt modelId="{9C02882E-280A-4B6A-8AD9-C8406B6604C6}" type="pres">
      <dgm:prSet presAssocID="{E37D3FD4-F70E-4AC5-8458-57AD8381D96C}" presName="connectorText" presStyleLbl="sibTrans2D1" presStyleIdx="6" presStyleCnt="7"/>
      <dgm:spPr/>
      <dgm:t>
        <a:bodyPr/>
        <a:lstStyle/>
        <a:p>
          <a:endParaRPr lang="es-MX"/>
        </a:p>
      </dgm:t>
    </dgm:pt>
  </dgm:ptLst>
  <dgm:cxnLst>
    <dgm:cxn modelId="{7DFE54B3-1D39-4035-BEC8-66AB893D42F1}" type="presOf" srcId="{2604C857-F8EF-4BD8-A9D6-185302E5B35E}" destId="{26DB7CE5-7BD0-4E45-A5A2-9479A1581E30}" srcOrd="0" destOrd="0" presId="urn:microsoft.com/office/officeart/2005/8/layout/cycle2"/>
    <dgm:cxn modelId="{9DF091B2-6D25-4CC7-8D8B-890900B883E0}" type="presOf" srcId="{E37D3FD4-F70E-4AC5-8458-57AD8381D96C}" destId="{26E94246-5B3E-4852-AFF3-B03BF4D6AEE1}" srcOrd="0" destOrd="0" presId="urn:microsoft.com/office/officeart/2005/8/layout/cycle2"/>
    <dgm:cxn modelId="{768CE1A6-D340-4E05-BAD2-A48B486EBEA7}" type="presOf" srcId="{38B5DEF3-ADE1-4D14-B4E6-3FF0613B2D3D}" destId="{30EC4A91-F4F9-42B5-8420-F5A85F5C0BE9}" srcOrd="0" destOrd="0" presId="urn:microsoft.com/office/officeart/2005/8/layout/cycle2"/>
    <dgm:cxn modelId="{1CE634CA-870A-4A9E-A73A-1874685B33FC}" type="presOf" srcId="{964987E9-2502-4E81-B543-35DB6D8CB628}" destId="{A7B8FD4E-4BBA-4673-A68A-E27A223CA833}" srcOrd="1" destOrd="0" presId="urn:microsoft.com/office/officeart/2005/8/layout/cycle2"/>
    <dgm:cxn modelId="{12FA301C-ADB7-438A-9834-90E0378384A2}" srcId="{5AAD596C-48ED-4EA4-AB72-F34C0187735A}" destId="{E875533B-8ECB-4469-B041-60C86FA484BD}" srcOrd="5" destOrd="0" parTransId="{2A8574BE-C39D-49FC-9C17-997FA043BFD6}" sibTransId="{64D440E3-098E-4C59-88B4-4DF67DF85C03}"/>
    <dgm:cxn modelId="{E189A114-D4A8-4288-B12F-BC15E229B19E}" srcId="{5AAD596C-48ED-4EA4-AB72-F34C0187735A}" destId="{50F3B8AA-3D36-4E11-8AD7-D0220166497E}" srcOrd="1" destOrd="0" parTransId="{BFEEEE72-909F-42C7-BE7B-1CD66308E2AD}" sibTransId="{38B5DEF3-ADE1-4D14-B4E6-3FF0613B2D3D}"/>
    <dgm:cxn modelId="{F57ED131-4007-4154-A28C-940A1D7F9474}" type="presOf" srcId="{E37D3FD4-F70E-4AC5-8458-57AD8381D96C}" destId="{9C02882E-280A-4B6A-8AD9-C8406B6604C6}" srcOrd="1" destOrd="0" presId="urn:microsoft.com/office/officeart/2005/8/layout/cycle2"/>
    <dgm:cxn modelId="{181C0D25-F20B-45DA-B689-A46DE61F06D6}" type="presOf" srcId="{C1B5EB69-2320-4548-B8AF-49249D0B863D}" destId="{035F27D4-1088-4F4C-A9FF-E448693BC11B}" srcOrd="0" destOrd="0" presId="urn:microsoft.com/office/officeart/2005/8/layout/cycle2"/>
    <dgm:cxn modelId="{FCDDE8B3-6591-4FAE-80AB-4790D0C4B9B5}" type="presOf" srcId="{D5816D9C-8767-4532-A966-161D48CB9E6F}" destId="{1C5AD0E0-7DCC-49F0-90D1-38C6706082CE}" srcOrd="0" destOrd="0" presId="urn:microsoft.com/office/officeart/2005/8/layout/cycle2"/>
    <dgm:cxn modelId="{8AEB10A8-03E2-4EF3-9441-C31A0EA289DC}" type="presOf" srcId="{5E5EBCF5-693B-4B67-B6F9-DEE7E9948E9F}" destId="{A50E3F31-C14B-4285-A589-F8768E91DC3A}" srcOrd="1" destOrd="0" presId="urn:microsoft.com/office/officeart/2005/8/layout/cycle2"/>
    <dgm:cxn modelId="{57AF6004-F161-4DD5-A72B-E9226E65277E}" type="presOf" srcId="{2D975439-F0D7-4208-9417-2A9C7C70B3BE}" destId="{96EA99ED-1781-4F50-84E1-B493336CDF7E}" srcOrd="0" destOrd="0" presId="urn:microsoft.com/office/officeart/2005/8/layout/cycle2"/>
    <dgm:cxn modelId="{8C54B5E4-566B-46C8-8C16-6D424991F0BB}" srcId="{5AAD596C-48ED-4EA4-AB72-F34C0187735A}" destId="{D5816D9C-8767-4532-A966-161D48CB9E6F}" srcOrd="6" destOrd="0" parTransId="{B7BCE2E3-535E-4DE5-9989-4D32CBB1B210}" sibTransId="{E37D3FD4-F70E-4AC5-8458-57AD8381D96C}"/>
    <dgm:cxn modelId="{B4DF51E1-E2D3-413A-BC2C-CD654B2F63D8}" type="presOf" srcId="{2604C857-F8EF-4BD8-A9D6-185302E5B35E}" destId="{4673A5B2-097B-448E-A5EB-B23B4CDF13EF}" srcOrd="1" destOrd="0" presId="urn:microsoft.com/office/officeart/2005/8/layout/cycle2"/>
    <dgm:cxn modelId="{E185298A-B46B-492E-AFE7-40BDEAB69057}" type="presOf" srcId="{2D975439-F0D7-4208-9417-2A9C7C70B3BE}" destId="{C7C7A4D8-C44B-4BBC-9B50-2EAECB413A30}" srcOrd="1" destOrd="0" presId="urn:microsoft.com/office/officeart/2005/8/layout/cycle2"/>
    <dgm:cxn modelId="{6E7E072B-345E-4BF0-AC9B-FE042650C87B}" type="presOf" srcId="{5E5EBCF5-693B-4B67-B6F9-DEE7E9948E9F}" destId="{666B9A5E-9BA1-4518-BB09-4F8915B44F03}" srcOrd="0" destOrd="0" presId="urn:microsoft.com/office/officeart/2005/8/layout/cycle2"/>
    <dgm:cxn modelId="{2FF04499-9918-46CA-A68C-3F227370CC3C}" type="presOf" srcId="{E875533B-8ECB-4469-B041-60C86FA484BD}" destId="{78EEA321-4643-41D0-88C1-B1DB34DE4A2C}" srcOrd="0" destOrd="0" presId="urn:microsoft.com/office/officeart/2005/8/layout/cycle2"/>
    <dgm:cxn modelId="{EE4DB5C3-324D-463D-9883-8C7984F7741E}" srcId="{5AAD596C-48ED-4EA4-AB72-F34C0187735A}" destId="{C6B500E7-F6E8-4F2A-8144-C386AFDE0994}" srcOrd="2" destOrd="0" parTransId="{EAE76CD7-3529-48B3-99AC-A792C06DFBDB}" sibTransId="{964987E9-2502-4E81-B543-35DB6D8CB628}"/>
    <dgm:cxn modelId="{43F01229-6568-4DFA-AD76-CA91F306FD79}" srcId="{5AAD596C-48ED-4EA4-AB72-F34C0187735A}" destId="{6A7D5DDF-DAC1-403D-B117-2FBBBDBAE5E5}" srcOrd="3" destOrd="0" parTransId="{0BA73B5E-5FF4-4151-8980-C6E34E7BB52E}" sibTransId="{2604C857-F8EF-4BD8-A9D6-185302E5B35E}"/>
    <dgm:cxn modelId="{C51A6F57-86ED-48AC-AF14-AE56AA5E39E8}" type="presOf" srcId="{6A7D5DDF-DAC1-403D-B117-2FBBBDBAE5E5}" destId="{F993F76C-F436-42E7-968D-B24F68055E7A}" srcOrd="0" destOrd="0" presId="urn:microsoft.com/office/officeart/2005/8/layout/cycle2"/>
    <dgm:cxn modelId="{C2A6D4CA-B536-4E8A-8B17-3083F6A274AE}" srcId="{5AAD596C-48ED-4EA4-AB72-F34C0187735A}" destId="{C1B5EB69-2320-4548-B8AF-49249D0B863D}" srcOrd="0" destOrd="0" parTransId="{77382798-AE17-4B5E-8A43-6261E42CE88F}" sibTransId="{2D975439-F0D7-4208-9417-2A9C7C70B3BE}"/>
    <dgm:cxn modelId="{183C48C6-DD4C-4A1C-BEBF-A89CEC22162F}" type="presOf" srcId="{50F3B8AA-3D36-4E11-8AD7-D0220166497E}" destId="{4F488760-549B-4CBD-AD86-2582244BEB24}" srcOrd="0" destOrd="0" presId="urn:microsoft.com/office/officeart/2005/8/layout/cycle2"/>
    <dgm:cxn modelId="{51519249-E219-4ACC-93A4-54ADE29F39A8}" srcId="{5AAD596C-48ED-4EA4-AB72-F34C0187735A}" destId="{D0949D50-DA85-408E-9D74-951EA2084CAA}" srcOrd="4" destOrd="0" parTransId="{D1A0E981-E167-434A-AA70-A5A95879A6F4}" sibTransId="{5E5EBCF5-693B-4B67-B6F9-DEE7E9948E9F}"/>
    <dgm:cxn modelId="{EA036116-E680-482C-9C5F-4401665C21A4}" type="presOf" srcId="{5AAD596C-48ED-4EA4-AB72-F34C0187735A}" destId="{518FBFFF-C956-45B3-BBE4-2EB8A4CB1C20}" srcOrd="0" destOrd="0" presId="urn:microsoft.com/office/officeart/2005/8/layout/cycle2"/>
    <dgm:cxn modelId="{8FF087A4-7F8D-49EE-B95C-7CF8AB19D9B1}" type="presOf" srcId="{64D440E3-098E-4C59-88B4-4DF67DF85C03}" destId="{B10D4AAA-31BB-417F-A043-13E33C0EA365}" srcOrd="0" destOrd="0" presId="urn:microsoft.com/office/officeart/2005/8/layout/cycle2"/>
    <dgm:cxn modelId="{E149C0F3-B276-4D17-A99C-96D852D7DEBF}" type="presOf" srcId="{D0949D50-DA85-408E-9D74-951EA2084CAA}" destId="{EC48C077-4C82-4B19-913F-E413345463AD}" srcOrd="0" destOrd="0" presId="urn:microsoft.com/office/officeart/2005/8/layout/cycle2"/>
    <dgm:cxn modelId="{FBA607FD-4B37-4468-9239-C3DD96F5C411}" type="presOf" srcId="{64D440E3-098E-4C59-88B4-4DF67DF85C03}" destId="{2CFCDE26-E245-4E41-BA53-840F82C985A2}" srcOrd="1" destOrd="0" presId="urn:microsoft.com/office/officeart/2005/8/layout/cycle2"/>
    <dgm:cxn modelId="{5D8893D0-B0F3-46E6-91C5-7447674EB752}" type="presOf" srcId="{38B5DEF3-ADE1-4D14-B4E6-3FF0613B2D3D}" destId="{7EC0509C-BD6E-4A79-A1FE-1FD23CD840E6}" srcOrd="1" destOrd="0" presId="urn:microsoft.com/office/officeart/2005/8/layout/cycle2"/>
    <dgm:cxn modelId="{8CA5B7DC-8684-4D30-B319-970185495726}" type="presOf" srcId="{964987E9-2502-4E81-B543-35DB6D8CB628}" destId="{FE89A802-222C-40C7-B477-2339E0E10218}" srcOrd="0" destOrd="0" presId="urn:microsoft.com/office/officeart/2005/8/layout/cycle2"/>
    <dgm:cxn modelId="{97D6F685-0778-4B16-954E-9F401322E8EB}" type="presOf" srcId="{C6B500E7-F6E8-4F2A-8144-C386AFDE0994}" destId="{B54578AE-2A4E-4447-9D46-E9C6732F6B09}" srcOrd="0" destOrd="0" presId="urn:microsoft.com/office/officeart/2005/8/layout/cycle2"/>
    <dgm:cxn modelId="{7E58F3BA-2D20-430B-AA02-D074C996BA04}" type="presParOf" srcId="{518FBFFF-C956-45B3-BBE4-2EB8A4CB1C20}" destId="{035F27D4-1088-4F4C-A9FF-E448693BC11B}" srcOrd="0" destOrd="0" presId="urn:microsoft.com/office/officeart/2005/8/layout/cycle2"/>
    <dgm:cxn modelId="{A521E56A-E258-431D-BAED-4D1160B180FB}" type="presParOf" srcId="{518FBFFF-C956-45B3-BBE4-2EB8A4CB1C20}" destId="{96EA99ED-1781-4F50-84E1-B493336CDF7E}" srcOrd="1" destOrd="0" presId="urn:microsoft.com/office/officeart/2005/8/layout/cycle2"/>
    <dgm:cxn modelId="{17E9E8D1-7E39-4AC8-97EE-9AE5222F89DA}" type="presParOf" srcId="{96EA99ED-1781-4F50-84E1-B493336CDF7E}" destId="{C7C7A4D8-C44B-4BBC-9B50-2EAECB413A30}" srcOrd="0" destOrd="0" presId="urn:microsoft.com/office/officeart/2005/8/layout/cycle2"/>
    <dgm:cxn modelId="{58716B3D-B817-478F-8CF4-D3E6B506B988}" type="presParOf" srcId="{518FBFFF-C956-45B3-BBE4-2EB8A4CB1C20}" destId="{4F488760-549B-4CBD-AD86-2582244BEB24}" srcOrd="2" destOrd="0" presId="urn:microsoft.com/office/officeart/2005/8/layout/cycle2"/>
    <dgm:cxn modelId="{555861E7-D796-4CC8-858D-CF5B4F6E8AC8}" type="presParOf" srcId="{518FBFFF-C956-45B3-BBE4-2EB8A4CB1C20}" destId="{30EC4A91-F4F9-42B5-8420-F5A85F5C0BE9}" srcOrd="3" destOrd="0" presId="urn:microsoft.com/office/officeart/2005/8/layout/cycle2"/>
    <dgm:cxn modelId="{07FD8BF1-1E4E-44F8-A4F9-9490952F64D0}" type="presParOf" srcId="{30EC4A91-F4F9-42B5-8420-F5A85F5C0BE9}" destId="{7EC0509C-BD6E-4A79-A1FE-1FD23CD840E6}" srcOrd="0" destOrd="0" presId="urn:microsoft.com/office/officeart/2005/8/layout/cycle2"/>
    <dgm:cxn modelId="{FFBD95AE-569E-4828-86FF-5BBF60A121AF}" type="presParOf" srcId="{518FBFFF-C956-45B3-BBE4-2EB8A4CB1C20}" destId="{B54578AE-2A4E-4447-9D46-E9C6732F6B09}" srcOrd="4" destOrd="0" presId="urn:microsoft.com/office/officeart/2005/8/layout/cycle2"/>
    <dgm:cxn modelId="{66D5796E-8659-4999-95B7-68B4DE0AC724}" type="presParOf" srcId="{518FBFFF-C956-45B3-BBE4-2EB8A4CB1C20}" destId="{FE89A802-222C-40C7-B477-2339E0E10218}" srcOrd="5" destOrd="0" presId="urn:microsoft.com/office/officeart/2005/8/layout/cycle2"/>
    <dgm:cxn modelId="{FFEE0D94-75DD-440F-9E97-F2E4C03EB819}" type="presParOf" srcId="{FE89A802-222C-40C7-B477-2339E0E10218}" destId="{A7B8FD4E-4BBA-4673-A68A-E27A223CA833}" srcOrd="0" destOrd="0" presId="urn:microsoft.com/office/officeart/2005/8/layout/cycle2"/>
    <dgm:cxn modelId="{EE2FFADB-2FB8-4F1E-8A7F-8FEEA152612A}" type="presParOf" srcId="{518FBFFF-C956-45B3-BBE4-2EB8A4CB1C20}" destId="{F993F76C-F436-42E7-968D-B24F68055E7A}" srcOrd="6" destOrd="0" presId="urn:microsoft.com/office/officeart/2005/8/layout/cycle2"/>
    <dgm:cxn modelId="{20418E4D-A767-4707-B85B-3C7B937E83EF}" type="presParOf" srcId="{518FBFFF-C956-45B3-BBE4-2EB8A4CB1C20}" destId="{26DB7CE5-7BD0-4E45-A5A2-9479A1581E30}" srcOrd="7" destOrd="0" presId="urn:microsoft.com/office/officeart/2005/8/layout/cycle2"/>
    <dgm:cxn modelId="{3FACAF61-6211-42A6-AF4F-5B15A2F2272C}" type="presParOf" srcId="{26DB7CE5-7BD0-4E45-A5A2-9479A1581E30}" destId="{4673A5B2-097B-448E-A5EB-B23B4CDF13EF}" srcOrd="0" destOrd="0" presId="urn:microsoft.com/office/officeart/2005/8/layout/cycle2"/>
    <dgm:cxn modelId="{C4B2615A-DF9E-4F6C-8FBB-E935C6AC371E}" type="presParOf" srcId="{518FBFFF-C956-45B3-BBE4-2EB8A4CB1C20}" destId="{EC48C077-4C82-4B19-913F-E413345463AD}" srcOrd="8" destOrd="0" presId="urn:microsoft.com/office/officeart/2005/8/layout/cycle2"/>
    <dgm:cxn modelId="{E14FADBC-1916-46F4-ADAA-038EF9247666}" type="presParOf" srcId="{518FBFFF-C956-45B3-BBE4-2EB8A4CB1C20}" destId="{666B9A5E-9BA1-4518-BB09-4F8915B44F03}" srcOrd="9" destOrd="0" presId="urn:microsoft.com/office/officeart/2005/8/layout/cycle2"/>
    <dgm:cxn modelId="{0138D7C9-F603-4DBC-A95E-F09CB0201759}" type="presParOf" srcId="{666B9A5E-9BA1-4518-BB09-4F8915B44F03}" destId="{A50E3F31-C14B-4285-A589-F8768E91DC3A}" srcOrd="0" destOrd="0" presId="urn:microsoft.com/office/officeart/2005/8/layout/cycle2"/>
    <dgm:cxn modelId="{32D79E0F-B976-4694-BEC7-B606330670BF}" type="presParOf" srcId="{518FBFFF-C956-45B3-BBE4-2EB8A4CB1C20}" destId="{78EEA321-4643-41D0-88C1-B1DB34DE4A2C}" srcOrd="10" destOrd="0" presId="urn:microsoft.com/office/officeart/2005/8/layout/cycle2"/>
    <dgm:cxn modelId="{394CE903-7B8C-46BC-BD01-CC48087A64D9}" type="presParOf" srcId="{518FBFFF-C956-45B3-BBE4-2EB8A4CB1C20}" destId="{B10D4AAA-31BB-417F-A043-13E33C0EA365}" srcOrd="11" destOrd="0" presId="urn:microsoft.com/office/officeart/2005/8/layout/cycle2"/>
    <dgm:cxn modelId="{4DD8143D-F1D2-46E2-8566-53C1AE30A9AE}" type="presParOf" srcId="{B10D4AAA-31BB-417F-A043-13E33C0EA365}" destId="{2CFCDE26-E245-4E41-BA53-840F82C985A2}" srcOrd="0" destOrd="0" presId="urn:microsoft.com/office/officeart/2005/8/layout/cycle2"/>
    <dgm:cxn modelId="{D712F056-6106-416D-89F8-4CB0FBECB09A}" type="presParOf" srcId="{518FBFFF-C956-45B3-BBE4-2EB8A4CB1C20}" destId="{1C5AD0E0-7DCC-49F0-90D1-38C6706082CE}" srcOrd="12" destOrd="0" presId="urn:microsoft.com/office/officeart/2005/8/layout/cycle2"/>
    <dgm:cxn modelId="{7F06FEE0-7B13-41A4-B89F-27D6DE012701}" type="presParOf" srcId="{518FBFFF-C956-45B3-BBE4-2EB8A4CB1C20}" destId="{26E94246-5B3E-4852-AFF3-B03BF4D6AEE1}" srcOrd="13" destOrd="0" presId="urn:microsoft.com/office/officeart/2005/8/layout/cycle2"/>
    <dgm:cxn modelId="{DDDB6A59-3688-4092-AEA0-70D2081BF861}" type="presParOf" srcId="{26E94246-5B3E-4852-AFF3-B03BF4D6AEE1}" destId="{9C02882E-280A-4B6A-8AD9-C8406B6604C6}" srcOrd="0" destOrd="0" presId="urn:microsoft.com/office/officeart/2005/8/layout/cycle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5F27D4-1088-4F4C-A9FF-E448693BC11B}">
      <dsp:nvSpPr>
        <dsp:cNvPr id="0" name=""/>
        <dsp:cNvSpPr/>
      </dsp:nvSpPr>
      <dsp:spPr>
        <a:xfrm>
          <a:off x="2061992" y="1084"/>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Planea-ción</a:t>
          </a:r>
        </a:p>
      </dsp:txBody>
      <dsp:txXfrm>
        <a:off x="2173833" y="112925"/>
        <a:ext cx="540018" cy="540018"/>
      </dsp:txXfrm>
    </dsp:sp>
    <dsp:sp modelId="{96EA99ED-1781-4F50-84E1-B493336CDF7E}">
      <dsp:nvSpPr>
        <dsp:cNvPr id="0" name=""/>
        <dsp:cNvSpPr/>
      </dsp:nvSpPr>
      <dsp:spPr>
        <a:xfrm rot="1542857">
          <a:off x="2853641" y="500212"/>
          <a:ext cx="202679"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a:off x="2856652" y="538571"/>
        <a:ext cx="141875" cy="154649"/>
      </dsp:txXfrm>
    </dsp:sp>
    <dsp:sp modelId="{4F488760-549B-4CBD-AD86-2582244BEB24}">
      <dsp:nvSpPr>
        <dsp:cNvPr id="0" name=""/>
        <dsp:cNvSpPr/>
      </dsp:nvSpPr>
      <dsp:spPr>
        <a:xfrm>
          <a:off x="3094606" y="498365"/>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Progra-ma-ción</a:t>
          </a:r>
          <a:endParaRPr lang="es-MX" sz="700" b="1" kern="1200"/>
        </a:p>
      </dsp:txBody>
      <dsp:txXfrm>
        <a:off x="3206447" y="610206"/>
        <a:ext cx="540018" cy="540018"/>
      </dsp:txXfrm>
    </dsp:sp>
    <dsp:sp modelId="{30EC4A91-F4F9-42B5-8420-F5A85F5C0BE9}">
      <dsp:nvSpPr>
        <dsp:cNvPr id="0" name=""/>
        <dsp:cNvSpPr/>
      </dsp:nvSpPr>
      <dsp:spPr>
        <a:xfrm rot="4628571">
          <a:off x="3501357" y="1304438"/>
          <a:ext cx="202679"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a:off x="3524994" y="1326348"/>
        <a:ext cx="141875" cy="154649"/>
      </dsp:txXfrm>
    </dsp:sp>
    <dsp:sp modelId="{B54578AE-2A4E-4447-9D46-E9C6732F6B09}">
      <dsp:nvSpPr>
        <dsp:cNvPr id="0" name=""/>
        <dsp:cNvSpPr/>
      </dsp:nvSpPr>
      <dsp:spPr>
        <a:xfrm>
          <a:off x="3349640" y="1615745"/>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Presu-puesta-ción</a:t>
          </a:r>
        </a:p>
      </dsp:txBody>
      <dsp:txXfrm>
        <a:off x="3461481" y="1727586"/>
        <a:ext cx="540018" cy="540018"/>
      </dsp:txXfrm>
    </dsp:sp>
    <dsp:sp modelId="{FE89A802-222C-40C7-B477-2339E0E10218}">
      <dsp:nvSpPr>
        <dsp:cNvPr id="0" name=""/>
        <dsp:cNvSpPr/>
      </dsp:nvSpPr>
      <dsp:spPr>
        <a:xfrm rot="7714286">
          <a:off x="3276432" y="2312271"/>
          <a:ext cx="202679"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rot="10800000">
        <a:off x="3325789" y="2340052"/>
        <a:ext cx="141875" cy="154649"/>
      </dsp:txXfrm>
    </dsp:sp>
    <dsp:sp modelId="{F993F76C-F436-42E7-968D-B24F68055E7A}">
      <dsp:nvSpPr>
        <dsp:cNvPr id="0" name=""/>
        <dsp:cNvSpPr/>
      </dsp:nvSpPr>
      <dsp:spPr>
        <a:xfrm>
          <a:off x="2635049" y="2511814"/>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Ejecu-ción</a:t>
          </a:r>
        </a:p>
      </dsp:txBody>
      <dsp:txXfrm>
        <a:off x="2746890" y="2623655"/>
        <a:ext cx="540018" cy="540018"/>
      </dsp:txXfrm>
    </dsp:sp>
    <dsp:sp modelId="{26DB7CE5-7BD0-4E45-A5A2-9479A1581E30}">
      <dsp:nvSpPr>
        <dsp:cNvPr id="0" name=""/>
        <dsp:cNvSpPr/>
      </dsp:nvSpPr>
      <dsp:spPr>
        <a:xfrm rot="10800000">
          <a:off x="2348238" y="2764790"/>
          <a:ext cx="202679"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rot="10800000">
        <a:off x="2409042" y="2816340"/>
        <a:ext cx="141875" cy="154649"/>
      </dsp:txXfrm>
    </dsp:sp>
    <dsp:sp modelId="{EC48C077-4C82-4B19-913F-E413345463AD}">
      <dsp:nvSpPr>
        <dsp:cNvPr id="0" name=""/>
        <dsp:cNvSpPr/>
      </dsp:nvSpPr>
      <dsp:spPr>
        <a:xfrm>
          <a:off x="1488934" y="2511814"/>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Control</a:t>
          </a:r>
        </a:p>
      </dsp:txBody>
      <dsp:txXfrm>
        <a:off x="1600775" y="2623655"/>
        <a:ext cx="540018" cy="540018"/>
      </dsp:txXfrm>
    </dsp:sp>
    <dsp:sp modelId="{666B9A5E-9BA1-4518-BB09-4F8915B44F03}">
      <dsp:nvSpPr>
        <dsp:cNvPr id="0" name=""/>
        <dsp:cNvSpPr/>
      </dsp:nvSpPr>
      <dsp:spPr>
        <a:xfrm rot="13885714">
          <a:off x="1415725" y="2321240"/>
          <a:ext cx="202679"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rot="10800000">
        <a:off x="1465082" y="2396559"/>
        <a:ext cx="141875" cy="154649"/>
      </dsp:txXfrm>
    </dsp:sp>
    <dsp:sp modelId="{78EEA321-4643-41D0-88C1-B1DB34DE4A2C}">
      <dsp:nvSpPr>
        <dsp:cNvPr id="0" name=""/>
        <dsp:cNvSpPr/>
      </dsp:nvSpPr>
      <dsp:spPr>
        <a:xfrm>
          <a:off x="774343" y="1615745"/>
          <a:ext cx="763700" cy="7637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Evalua-ción</a:t>
          </a:r>
        </a:p>
      </dsp:txBody>
      <dsp:txXfrm>
        <a:off x="886184" y="1727586"/>
        <a:ext cx="540018" cy="540018"/>
      </dsp:txXfrm>
    </dsp:sp>
    <dsp:sp modelId="{B10D4AAA-31BB-417F-A043-13E33C0EA365}">
      <dsp:nvSpPr>
        <dsp:cNvPr id="0" name=""/>
        <dsp:cNvSpPr/>
      </dsp:nvSpPr>
      <dsp:spPr>
        <a:xfrm rot="16971429">
          <a:off x="1183200" y="1321963"/>
          <a:ext cx="195573"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a:off x="1206008" y="1402113"/>
        <a:ext cx="136901" cy="154649"/>
      </dsp:txXfrm>
    </dsp:sp>
    <dsp:sp modelId="{1C5AD0E0-7DCC-49F0-90D1-38C6706082CE}">
      <dsp:nvSpPr>
        <dsp:cNvPr id="0" name=""/>
        <dsp:cNvSpPr/>
      </dsp:nvSpPr>
      <dsp:spPr>
        <a:xfrm>
          <a:off x="983132" y="486467"/>
          <a:ext cx="856192" cy="78749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MX" sz="900" b="1" kern="1200"/>
            <a:t>Transpa-rencia</a:t>
          </a:r>
          <a:endParaRPr lang="es-MX" sz="700" b="1" kern="1200"/>
        </a:p>
      </dsp:txBody>
      <dsp:txXfrm>
        <a:off x="1108518" y="601793"/>
        <a:ext cx="605420" cy="556845"/>
      </dsp:txXfrm>
    </dsp:sp>
    <dsp:sp modelId="{26E94246-5B3E-4852-AFF3-B03BF4D6AEE1}">
      <dsp:nvSpPr>
        <dsp:cNvPr id="0" name=""/>
        <dsp:cNvSpPr/>
      </dsp:nvSpPr>
      <dsp:spPr>
        <a:xfrm rot="20057143">
          <a:off x="1849525" y="496454"/>
          <a:ext cx="181960" cy="2577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s-MX" sz="1100" kern="1200"/>
        </a:p>
      </dsp:txBody>
      <dsp:txXfrm>
        <a:off x="1852228" y="559846"/>
        <a:ext cx="127372" cy="154649"/>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01328A-FFA8-4E60-AD97-0DAA60F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3349</Words>
  <Characters>18421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Finanzas</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creator>Presupuestos</dc:creator>
  <cp:lastModifiedBy>Monzerrat Chi</cp:lastModifiedBy>
  <cp:revision>42</cp:revision>
  <cp:lastPrinted>2017-08-21T16:50:00Z</cp:lastPrinted>
  <dcterms:created xsi:type="dcterms:W3CDTF">2017-08-11T13:46:00Z</dcterms:created>
  <dcterms:modified xsi:type="dcterms:W3CDTF">2019-08-30T16:24:00Z</dcterms:modified>
</cp:coreProperties>
</file>